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3E557">
      <w:pPr>
        <w:pStyle w:val="3"/>
        <w:tabs>
          <w:tab w:val="left" w:pos="6480"/>
        </w:tabs>
        <w:spacing w:line="360" w:lineRule="auto"/>
        <w:jc w:val="center"/>
        <w:rPr>
          <w:rFonts w:ascii="宋体" w:hAnsi="宋体"/>
          <w:sz w:val="30"/>
          <w:szCs w:val="30"/>
          <w:highlight w:val="none"/>
        </w:rPr>
      </w:pPr>
      <w:bookmarkStart w:id="0" w:name="_Toc25372"/>
      <w:bookmarkStart w:id="1" w:name="_Toc9174"/>
      <w:r>
        <w:rPr>
          <w:rFonts w:hint="eastAsia" w:ascii="宋体" w:hAnsi="宋体"/>
          <w:sz w:val="30"/>
          <w:szCs w:val="30"/>
          <w:highlight w:val="none"/>
        </w:rPr>
        <w:t>川投大健康产业集团消防安全技术服务项目比选公告</w:t>
      </w:r>
      <w:bookmarkEnd w:id="0"/>
      <w:bookmarkEnd w:id="1"/>
    </w:p>
    <w:p w14:paraId="7B4CB05C">
      <w:pPr>
        <w:pStyle w:val="4"/>
        <w:tabs>
          <w:tab w:val="left" w:pos="700"/>
        </w:tabs>
        <w:spacing w:before="260" w:after="260" w:line="360" w:lineRule="auto"/>
        <w:rPr>
          <w:rFonts w:ascii="宋体" w:hAnsi="宋体"/>
          <w:sz w:val="24"/>
          <w:szCs w:val="24"/>
          <w:highlight w:val="none"/>
        </w:rPr>
      </w:pPr>
      <w:bookmarkStart w:id="2" w:name="_Toc505098231"/>
      <w:bookmarkStart w:id="3" w:name="_Toc1951"/>
      <w:bookmarkStart w:id="4" w:name="_Toc387928984"/>
      <w:bookmarkStart w:id="5" w:name="_Toc22942"/>
      <w:bookmarkStart w:id="6" w:name="_Toc387929647"/>
      <w:bookmarkStart w:id="7" w:name="_Toc14360"/>
      <w:bookmarkStart w:id="8" w:name="_Toc387929090"/>
      <w:bookmarkStart w:id="9" w:name="_Toc389119578"/>
      <w:bookmarkStart w:id="10" w:name="_Toc463363289"/>
      <w:bookmarkStart w:id="11" w:name="_Toc505097976"/>
      <w:r>
        <w:rPr>
          <w:rFonts w:hint="eastAsia" w:ascii="宋体" w:hAnsi="宋体"/>
          <w:sz w:val="24"/>
          <w:szCs w:val="24"/>
          <w:highlight w:val="none"/>
        </w:rPr>
        <w:t>1．比选条件</w:t>
      </w:r>
      <w:bookmarkEnd w:id="2"/>
      <w:bookmarkEnd w:id="3"/>
      <w:bookmarkEnd w:id="4"/>
      <w:bookmarkEnd w:id="5"/>
      <w:bookmarkEnd w:id="6"/>
      <w:bookmarkEnd w:id="7"/>
      <w:bookmarkEnd w:id="8"/>
      <w:bookmarkEnd w:id="9"/>
      <w:bookmarkEnd w:id="10"/>
      <w:bookmarkEnd w:id="11"/>
    </w:p>
    <w:p w14:paraId="748FF2A2">
      <w:pPr>
        <w:pStyle w:val="5"/>
        <w:spacing w:before="0" w:beforeAutospacing="0" w:after="0" w:afterAutospacing="0" w:line="360" w:lineRule="auto"/>
        <w:ind w:firstLine="480" w:firstLineChars="200"/>
        <w:rPr>
          <w:rFonts w:ascii="宋体" w:hAnsi="宋体"/>
          <w:highlight w:val="none"/>
          <w:u w:val="single"/>
        </w:rPr>
      </w:pPr>
      <w:r>
        <w:rPr>
          <w:rFonts w:hint="eastAsia" w:ascii="宋体" w:hAnsi="宋体"/>
          <w:highlight w:val="none"/>
        </w:rPr>
        <w:t>本比选项目为</w:t>
      </w:r>
      <w:r>
        <w:rPr>
          <w:rFonts w:hint="eastAsia" w:ascii="宋体" w:hAnsi="宋体"/>
          <w:highlight w:val="none"/>
          <w:u w:val="single"/>
        </w:rPr>
        <w:t>川投大健康产业集团消防安全技术服务项目</w:t>
      </w:r>
      <w:r>
        <w:rPr>
          <w:rFonts w:hint="eastAsia" w:ascii="宋体" w:hAnsi="宋体"/>
          <w:highlight w:val="none"/>
        </w:rPr>
        <w:t>，比选人为</w:t>
      </w:r>
      <w:r>
        <w:rPr>
          <w:rFonts w:hint="eastAsia" w:ascii="宋体" w:hAnsi="宋体"/>
          <w:highlight w:val="none"/>
          <w:u w:val="single"/>
        </w:rPr>
        <w:t>四川川投大健康产业集团有限责任公司</w:t>
      </w:r>
      <w:r>
        <w:rPr>
          <w:rFonts w:hint="eastAsia" w:ascii="宋体" w:hAnsi="宋体"/>
          <w:highlight w:val="none"/>
        </w:rPr>
        <w:t>，资金来源</w:t>
      </w:r>
      <w:r>
        <w:rPr>
          <w:rFonts w:hint="eastAsia" w:ascii="宋体" w:hAnsi="宋体"/>
          <w:highlight w:val="none"/>
          <w:u w:val="single"/>
        </w:rPr>
        <w:t>企业自筹</w:t>
      </w:r>
      <w:r>
        <w:rPr>
          <w:rFonts w:hint="eastAsia" w:ascii="宋体" w:hAnsi="宋体"/>
          <w:highlight w:val="none"/>
        </w:rPr>
        <w:t>，项目已具备比选条件，现委托</w:t>
      </w:r>
      <w:r>
        <w:rPr>
          <w:rFonts w:hint="eastAsia" w:ascii="宋体" w:hAnsi="宋体"/>
          <w:highlight w:val="none"/>
          <w:u w:val="single"/>
        </w:rPr>
        <w:t>四川同方建设咨询有限公司</w:t>
      </w:r>
      <w:r>
        <w:rPr>
          <w:rFonts w:hint="eastAsia" w:ascii="宋体" w:hAnsi="宋体"/>
          <w:highlight w:val="none"/>
        </w:rPr>
        <w:t>作为本次比选的代理机构，对该项目进行公开比选，诚邀符合资格条件的潜在比选申请人参与本项目的比选。</w:t>
      </w:r>
      <w:bookmarkStart w:id="12" w:name="_Toc387928985"/>
      <w:bookmarkStart w:id="13" w:name="_Toc389119579"/>
      <w:bookmarkStart w:id="14" w:name="_Toc17812"/>
      <w:bookmarkStart w:id="15" w:name="_Toc26618"/>
      <w:bookmarkStart w:id="16" w:name="_Toc387929648"/>
      <w:bookmarkStart w:id="17" w:name="_Toc463363290"/>
      <w:bookmarkStart w:id="18" w:name="_Toc505097977"/>
      <w:bookmarkStart w:id="19" w:name="_Toc387929091"/>
      <w:bookmarkStart w:id="20" w:name="_Toc505098232"/>
      <w:bookmarkStart w:id="21" w:name="_Toc32027"/>
    </w:p>
    <w:p w14:paraId="7A80C2CD">
      <w:pPr>
        <w:pStyle w:val="4"/>
        <w:tabs>
          <w:tab w:val="left" w:pos="700"/>
          <w:tab w:val="left" w:pos="3615"/>
          <w:tab w:val="left" w:pos="4200"/>
        </w:tabs>
        <w:spacing w:before="260" w:after="260" w:line="360" w:lineRule="auto"/>
        <w:rPr>
          <w:rFonts w:hint="eastAsia" w:ascii="宋体" w:hAnsi="宋体"/>
          <w:sz w:val="24"/>
          <w:szCs w:val="24"/>
          <w:highlight w:val="none"/>
        </w:rPr>
      </w:pPr>
      <w:r>
        <w:rPr>
          <w:rFonts w:hint="eastAsia" w:ascii="宋体" w:hAnsi="宋体"/>
          <w:sz w:val="24"/>
          <w:szCs w:val="24"/>
          <w:highlight w:val="none"/>
        </w:rPr>
        <w:t>2．项目概况与比选范围</w:t>
      </w:r>
      <w:bookmarkEnd w:id="12"/>
      <w:bookmarkEnd w:id="13"/>
      <w:bookmarkEnd w:id="14"/>
      <w:bookmarkEnd w:id="15"/>
      <w:bookmarkEnd w:id="16"/>
      <w:bookmarkEnd w:id="17"/>
      <w:bookmarkEnd w:id="18"/>
      <w:bookmarkEnd w:id="19"/>
      <w:bookmarkEnd w:id="20"/>
      <w:bookmarkEnd w:id="21"/>
      <w:r>
        <w:rPr>
          <w:rFonts w:ascii="宋体" w:hAnsi="宋体"/>
          <w:sz w:val="24"/>
          <w:szCs w:val="24"/>
          <w:highlight w:val="none"/>
        </w:rPr>
        <w:tab/>
      </w:r>
      <w:r>
        <w:rPr>
          <w:rFonts w:hint="eastAsia" w:ascii="宋体" w:hAnsi="宋体"/>
          <w:sz w:val="24"/>
          <w:szCs w:val="24"/>
          <w:highlight w:val="none"/>
        </w:rPr>
        <w:tab/>
      </w:r>
    </w:p>
    <w:p w14:paraId="4640087E">
      <w:pPr>
        <w:spacing w:line="360" w:lineRule="auto"/>
        <w:ind w:firstLine="480" w:firstLineChars="200"/>
        <w:rPr>
          <w:rFonts w:hint="eastAsia" w:ascii="宋体" w:hAnsi="宋体"/>
          <w:highlight w:val="none"/>
        </w:rPr>
      </w:pPr>
      <w:r>
        <w:rPr>
          <w:rFonts w:hint="eastAsia" w:ascii="宋体" w:hAnsi="宋体"/>
          <w:highlight w:val="none"/>
        </w:rPr>
        <w:t>2.1 项目名称：川投大健康产业集团消防安全技术服务项目</w:t>
      </w:r>
    </w:p>
    <w:p w14:paraId="175ED88C">
      <w:pPr>
        <w:tabs>
          <w:tab w:val="left" w:pos="1620"/>
        </w:tabs>
        <w:snapToGrid w:val="0"/>
        <w:spacing w:line="360" w:lineRule="auto"/>
        <w:ind w:firstLine="480" w:firstLineChars="200"/>
        <w:rPr>
          <w:rFonts w:hint="eastAsia" w:ascii="宋体" w:hAnsi="宋体"/>
          <w:highlight w:val="none"/>
        </w:rPr>
      </w:pPr>
      <w:r>
        <w:rPr>
          <w:rFonts w:hint="eastAsia" w:ascii="宋体" w:hAnsi="宋体"/>
          <w:highlight w:val="none"/>
        </w:rPr>
        <w:t>2.2 项目编号：</w:t>
      </w:r>
      <w:r>
        <w:rPr>
          <w:rFonts w:ascii="宋体" w:hAnsi="宋体"/>
          <w:highlight w:val="none"/>
        </w:rPr>
        <w:t>SCTFZX-2025010010</w:t>
      </w:r>
    </w:p>
    <w:p w14:paraId="7E6ABFF8">
      <w:pPr>
        <w:tabs>
          <w:tab w:val="left" w:pos="1620"/>
        </w:tabs>
        <w:snapToGrid w:val="0"/>
        <w:spacing w:line="360" w:lineRule="auto"/>
        <w:ind w:firstLine="480" w:firstLineChars="200"/>
        <w:rPr>
          <w:rFonts w:hint="eastAsia" w:ascii="宋体" w:hAnsi="宋体"/>
          <w:highlight w:val="none"/>
        </w:rPr>
      </w:pPr>
      <w:r>
        <w:rPr>
          <w:rFonts w:hint="eastAsia" w:ascii="宋体" w:hAnsi="宋体"/>
          <w:highlight w:val="none"/>
        </w:rPr>
        <w:t>2.3 资金来源及金额：企业自筹资金，最高限价：人民币1</w:t>
      </w:r>
      <w:r>
        <w:rPr>
          <w:rFonts w:hint="eastAsia" w:ascii="宋体" w:hAnsi="宋体"/>
          <w:highlight w:val="none"/>
          <w:lang w:val="en-US" w:eastAsia="zh-CN"/>
        </w:rPr>
        <w:t>60000</w:t>
      </w:r>
      <w:r>
        <w:rPr>
          <w:rFonts w:hint="eastAsia" w:ascii="宋体" w:hAnsi="宋体"/>
          <w:highlight w:val="none"/>
        </w:rPr>
        <w:t>.00元，大写：人民币壹拾</w:t>
      </w:r>
      <w:r>
        <w:rPr>
          <w:rFonts w:hint="eastAsia" w:ascii="宋体" w:hAnsi="宋体"/>
          <w:highlight w:val="none"/>
          <w:lang w:val="en-US" w:eastAsia="zh-CN"/>
        </w:rPr>
        <w:t>陆</w:t>
      </w:r>
      <w:r>
        <w:rPr>
          <w:rFonts w:hint="eastAsia" w:ascii="宋体" w:hAnsi="宋体"/>
          <w:highlight w:val="none"/>
        </w:rPr>
        <w:t>万元整。</w:t>
      </w:r>
    </w:p>
    <w:p w14:paraId="5F82524D">
      <w:pPr>
        <w:tabs>
          <w:tab w:val="left" w:pos="1620"/>
        </w:tabs>
        <w:snapToGrid w:val="0"/>
        <w:spacing w:line="360" w:lineRule="auto"/>
        <w:ind w:firstLine="480" w:firstLineChars="200"/>
        <w:rPr>
          <w:rFonts w:hint="eastAsia" w:ascii="宋体" w:hAnsi="宋体"/>
          <w:highlight w:val="none"/>
        </w:rPr>
      </w:pPr>
      <w:r>
        <w:rPr>
          <w:rFonts w:hint="eastAsia" w:ascii="宋体" w:hAnsi="宋体"/>
          <w:highlight w:val="none"/>
        </w:rPr>
        <w:t xml:space="preserve">2.4 </w:t>
      </w:r>
      <w:r>
        <w:rPr>
          <w:rFonts w:hint="eastAsia"/>
          <w:highlight w:val="none"/>
        </w:rPr>
        <w:t>项目内容</w:t>
      </w:r>
      <w:r>
        <w:rPr>
          <w:rFonts w:hint="eastAsia" w:hAnsi="宋体" w:cs="宋体"/>
          <w:highlight w:val="none"/>
        </w:rPr>
        <w:t>：</w:t>
      </w:r>
      <w:r>
        <w:rPr>
          <w:rFonts w:hint="eastAsia" w:hAnsi="宋体"/>
          <w:highlight w:val="none"/>
        </w:rPr>
        <w:t>为四川川投大健康产业集团有限责任公司提供消防安全技术服务。</w:t>
      </w:r>
    </w:p>
    <w:p w14:paraId="55171F48">
      <w:pPr>
        <w:pStyle w:val="4"/>
        <w:tabs>
          <w:tab w:val="left" w:pos="700"/>
          <w:tab w:val="left" w:pos="3615"/>
          <w:tab w:val="left" w:pos="4200"/>
        </w:tabs>
        <w:spacing w:before="260" w:after="260" w:line="360" w:lineRule="auto"/>
        <w:rPr>
          <w:rFonts w:ascii="宋体" w:hAnsi="宋体"/>
          <w:sz w:val="24"/>
          <w:szCs w:val="24"/>
          <w:highlight w:val="none"/>
        </w:rPr>
      </w:pPr>
      <w:bookmarkStart w:id="22" w:name="_Toc387928986"/>
      <w:bookmarkStart w:id="23" w:name="_Toc29355"/>
      <w:bookmarkStart w:id="24" w:name="_Toc387929649"/>
      <w:bookmarkStart w:id="25" w:name="_Toc389119580"/>
      <w:bookmarkStart w:id="26" w:name="_Toc7077"/>
      <w:bookmarkStart w:id="27" w:name="_Toc505097978"/>
      <w:bookmarkStart w:id="28" w:name="_Toc387929092"/>
      <w:bookmarkStart w:id="29" w:name="_Toc505098233"/>
      <w:bookmarkStart w:id="30" w:name="_Toc16543"/>
      <w:bookmarkStart w:id="31" w:name="_Toc463363291"/>
      <w:r>
        <w:rPr>
          <w:rFonts w:hint="eastAsia" w:ascii="宋体" w:hAnsi="宋体"/>
          <w:sz w:val="24"/>
          <w:szCs w:val="24"/>
          <w:highlight w:val="none"/>
        </w:rPr>
        <w:t>3．比选申请人资格要求</w:t>
      </w:r>
      <w:bookmarkEnd w:id="22"/>
      <w:bookmarkEnd w:id="23"/>
      <w:bookmarkEnd w:id="24"/>
      <w:bookmarkEnd w:id="25"/>
      <w:bookmarkEnd w:id="26"/>
      <w:bookmarkEnd w:id="27"/>
      <w:bookmarkEnd w:id="28"/>
      <w:bookmarkEnd w:id="29"/>
      <w:bookmarkEnd w:id="30"/>
      <w:bookmarkEnd w:id="31"/>
    </w:p>
    <w:p w14:paraId="61CCE652">
      <w:pPr>
        <w:pStyle w:val="8"/>
        <w:spacing w:line="360" w:lineRule="auto"/>
        <w:ind w:firstLine="480" w:firstLineChars="200"/>
        <w:rPr>
          <w:rFonts w:hint="eastAsia"/>
          <w:color w:val="auto"/>
          <w:highlight w:val="none"/>
        </w:rPr>
      </w:pPr>
      <w:bookmarkStart w:id="32" w:name="_Toc387928987"/>
      <w:bookmarkStart w:id="33" w:name="_Toc463363292"/>
      <w:bookmarkStart w:id="34" w:name="_Toc24223"/>
      <w:bookmarkStart w:id="35" w:name="_Toc389119581"/>
      <w:bookmarkStart w:id="36" w:name="_Toc505097979"/>
      <w:bookmarkStart w:id="37" w:name="_Toc387929093"/>
      <w:bookmarkStart w:id="38" w:name="_Toc387929650"/>
      <w:bookmarkStart w:id="39" w:name="_Toc505098234"/>
      <w:r>
        <w:rPr>
          <w:rFonts w:hint="eastAsia"/>
          <w:color w:val="auto"/>
          <w:highlight w:val="none"/>
        </w:rPr>
        <w:t>3.1</w:t>
      </w:r>
      <w:r>
        <w:rPr>
          <w:color w:val="auto"/>
          <w:highlight w:val="none"/>
        </w:rPr>
        <w:t xml:space="preserve"> </w:t>
      </w:r>
      <w:r>
        <w:rPr>
          <w:rFonts w:hint="eastAsia" w:hAnsi="宋体" w:eastAsia="宋体" w:cs="宋体"/>
          <w:color w:val="auto"/>
          <w:highlight w:val="none"/>
        </w:rPr>
        <w:t>具有</w:t>
      </w:r>
      <w:r>
        <w:rPr>
          <w:rFonts w:hint="default" w:hAnsi="宋体" w:eastAsia="宋体" w:cs="宋体"/>
          <w:color w:val="auto"/>
          <w:highlight w:val="none"/>
          <w:lang w:val="en-US"/>
        </w:rPr>
        <w:t>独立承担民事责任的能力</w:t>
      </w:r>
      <w:r>
        <w:rPr>
          <w:rFonts w:hint="eastAsia" w:hAnsi="宋体" w:eastAsia="宋体" w:cs="宋体"/>
          <w:color w:val="auto"/>
          <w:highlight w:val="none"/>
        </w:rPr>
        <w:t>；</w:t>
      </w:r>
    </w:p>
    <w:p w14:paraId="49DCEF62">
      <w:pPr>
        <w:pStyle w:val="8"/>
        <w:spacing w:line="360" w:lineRule="auto"/>
        <w:ind w:firstLine="480" w:firstLineChars="200"/>
        <w:rPr>
          <w:rFonts w:hint="eastAsia"/>
          <w:color w:val="auto"/>
          <w:highlight w:val="none"/>
        </w:rPr>
      </w:pPr>
      <w:r>
        <w:rPr>
          <w:color w:val="auto"/>
          <w:highlight w:val="none"/>
        </w:rPr>
        <w:t>3.</w:t>
      </w:r>
      <w:r>
        <w:rPr>
          <w:rFonts w:hint="eastAsia"/>
          <w:color w:val="auto"/>
          <w:highlight w:val="none"/>
        </w:rPr>
        <w:t>2</w:t>
      </w:r>
      <w:r>
        <w:rPr>
          <w:color w:val="auto"/>
          <w:highlight w:val="none"/>
        </w:rPr>
        <w:t xml:space="preserve"> </w:t>
      </w:r>
      <w:r>
        <w:rPr>
          <w:rFonts w:hint="eastAsia" w:hAnsi="宋体" w:eastAsia="宋体" w:cs="宋体"/>
          <w:color w:val="auto"/>
          <w:highlight w:val="none"/>
        </w:rPr>
        <w:t>具有良好的商业信誉和健全的财务会计制度；</w:t>
      </w:r>
    </w:p>
    <w:p w14:paraId="354EFE10">
      <w:pPr>
        <w:pStyle w:val="8"/>
        <w:spacing w:line="360" w:lineRule="auto"/>
        <w:ind w:firstLine="480" w:firstLineChars="200"/>
        <w:rPr>
          <w:rFonts w:hint="eastAsia"/>
          <w:color w:val="auto"/>
          <w:highlight w:val="none"/>
        </w:rPr>
      </w:pPr>
      <w:r>
        <w:rPr>
          <w:color w:val="auto"/>
          <w:highlight w:val="none"/>
        </w:rPr>
        <w:t>3.</w:t>
      </w:r>
      <w:r>
        <w:rPr>
          <w:rFonts w:hint="eastAsia"/>
          <w:color w:val="auto"/>
          <w:highlight w:val="none"/>
        </w:rPr>
        <w:t>3</w:t>
      </w:r>
      <w:r>
        <w:rPr>
          <w:color w:val="auto"/>
          <w:highlight w:val="none"/>
        </w:rPr>
        <w:t xml:space="preserve"> </w:t>
      </w:r>
      <w:r>
        <w:rPr>
          <w:rFonts w:hint="eastAsia" w:hAnsi="宋体" w:eastAsia="宋体" w:cs="宋体"/>
          <w:color w:val="auto"/>
          <w:highlight w:val="none"/>
        </w:rPr>
        <w:t>具有履行合同所必需的设备和专业技术能力；</w:t>
      </w:r>
    </w:p>
    <w:p w14:paraId="4E5CA09B">
      <w:pPr>
        <w:pStyle w:val="8"/>
        <w:spacing w:line="360" w:lineRule="auto"/>
        <w:ind w:firstLine="480" w:firstLineChars="200"/>
        <w:rPr>
          <w:rFonts w:hint="eastAsia"/>
          <w:color w:val="auto"/>
          <w:highlight w:val="none"/>
        </w:rPr>
      </w:pPr>
      <w:r>
        <w:rPr>
          <w:color w:val="auto"/>
          <w:highlight w:val="none"/>
        </w:rPr>
        <w:t>3.</w:t>
      </w:r>
      <w:r>
        <w:rPr>
          <w:rFonts w:hint="eastAsia"/>
          <w:color w:val="auto"/>
          <w:highlight w:val="none"/>
        </w:rPr>
        <w:t>4</w:t>
      </w:r>
      <w:r>
        <w:rPr>
          <w:color w:val="auto"/>
          <w:highlight w:val="none"/>
        </w:rPr>
        <w:t xml:space="preserve"> </w:t>
      </w:r>
      <w:r>
        <w:rPr>
          <w:rFonts w:hint="eastAsia" w:hAnsi="宋体" w:eastAsia="宋体" w:cs="宋体"/>
          <w:color w:val="auto"/>
          <w:highlight w:val="none"/>
        </w:rPr>
        <w:t>具有依法缴纳税收和社会保障资金的良好记录；</w:t>
      </w:r>
    </w:p>
    <w:p w14:paraId="5F7589A5">
      <w:pPr>
        <w:pStyle w:val="8"/>
        <w:spacing w:line="360" w:lineRule="auto"/>
        <w:ind w:firstLine="480" w:firstLineChars="200"/>
        <w:rPr>
          <w:rFonts w:hint="eastAsia"/>
          <w:color w:val="auto"/>
          <w:highlight w:val="none"/>
        </w:rPr>
      </w:pPr>
      <w:r>
        <w:rPr>
          <w:color w:val="auto"/>
          <w:highlight w:val="none"/>
        </w:rPr>
        <w:t>3.</w:t>
      </w:r>
      <w:r>
        <w:rPr>
          <w:rFonts w:hint="eastAsia"/>
          <w:color w:val="auto"/>
          <w:highlight w:val="none"/>
        </w:rPr>
        <w:t>5</w:t>
      </w:r>
      <w:r>
        <w:rPr>
          <w:color w:val="auto"/>
          <w:highlight w:val="none"/>
        </w:rPr>
        <w:t xml:space="preserve"> </w:t>
      </w:r>
      <w:r>
        <w:rPr>
          <w:rFonts w:hint="eastAsia" w:hAnsi="宋体" w:eastAsia="宋体" w:cs="宋体"/>
          <w:color w:val="auto"/>
          <w:highlight w:val="none"/>
        </w:rPr>
        <w:t>企业存续期内，在经营活动中没有重大违法记录；</w:t>
      </w:r>
    </w:p>
    <w:p w14:paraId="7F7F1930">
      <w:pPr>
        <w:pStyle w:val="8"/>
        <w:spacing w:line="360" w:lineRule="auto"/>
        <w:ind w:firstLine="480" w:firstLineChars="200"/>
        <w:rPr>
          <w:rFonts w:hint="eastAsia" w:hAnsi="宋体" w:eastAsia="宋体" w:cs="宋体"/>
          <w:color w:val="auto"/>
          <w:highlight w:val="none"/>
        </w:rPr>
      </w:pPr>
      <w:r>
        <w:rPr>
          <w:color w:val="auto"/>
          <w:highlight w:val="none"/>
        </w:rPr>
        <w:t>3.</w:t>
      </w:r>
      <w:r>
        <w:rPr>
          <w:rFonts w:hint="eastAsia"/>
          <w:color w:val="auto"/>
          <w:highlight w:val="none"/>
        </w:rPr>
        <w:t>6</w:t>
      </w:r>
      <w:r>
        <w:rPr>
          <w:color w:val="auto"/>
          <w:highlight w:val="none"/>
        </w:rPr>
        <w:t xml:space="preserve"> </w:t>
      </w:r>
      <w:r>
        <w:rPr>
          <w:rFonts w:hint="eastAsia" w:hAnsi="宋体" w:eastAsia="宋体" w:cs="宋体"/>
          <w:color w:val="auto"/>
          <w:highlight w:val="none"/>
        </w:rPr>
        <w:t>法律、行政法规规定的其他条件；</w:t>
      </w:r>
    </w:p>
    <w:p w14:paraId="00CE5797">
      <w:pPr>
        <w:pStyle w:val="8"/>
        <w:spacing w:line="360" w:lineRule="auto"/>
        <w:ind w:firstLine="480" w:firstLineChars="200"/>
        <w:rPr>
          <w:rFonts w:hint="eastAsia" w:hAnsi="宋体" w:eastAsia="宋体" w:cs="宋体"/>
          <w:color w:val="auto"/>
          <w:highlight w:val="none"/>
        </w:rPr>
      </w:pPr>
      <w:r>
        <w:rPr>
          <w:rFonts w:hint="eastAsia" w:hAnsi="宋体" w:eastAsia="宋体" w:cs="宋体"/>
          <w:color w:val="auto"/>
          <w:highlight w:val="none"/>
        </w:rPr>
        <w:t>3.7 根据项目提出的特殊条件：</w:t>
      </w:r>
    </w:p>
    <w:p w14:paraId="5F46F4BE">
      <w:pPr>
        <w:pStyle w:val="8"/>
        <w:spacing w:line="360" w:lineRule="auto"/>
        <w:ind w:firstLine="480" w:firstLineChars="200"/>
        <w:rPr>
          <w:rFonts w:hint="eastAsia" w:hAnsi="宋体" w:eastAsia="宋体" w:cs="宋体"/>
          <w:color w:val="auto"/>
          <w:highlight w:val="none"/>
        </w:rPr>
      </w:pPr>
      <w:r>
        <w:rPr>
          <w:rFonts w:hint="eastAsia" w:hAnsi="宋体" w:eastAsia="宋体" w:cs="宋体"/>
          <w:color w:val="auto"/>
          <w:highlight w:val="none"/>
          <w:lang w:eastAsia="zh-CN"/>
        </w:rPr>
        <w:t>（</w:t>
      </w:r>
      <w:r>
        <w:rPr>
          <w:rFonts w:hint="eastAsia" w:hAnsi="宋体" w:eastAsia="宋体" w:cs="宋体"/>
          <w:color w:val="auto"/>
          <w:highlight w:val="none"/>
          <w:lang w:val="en-US" w:eastAsia="zh-CN"/>
        </w:rPr>
        <w:t>1</w:t>
      </w:r>
      <w:r>
        <w:rPr>
          <w:rFonts w:hint="eastAsia" w:hAnsi="宋体" w:eastAsia="宋体" w:cs="宋体"/>
          <w:color w:val="auto"/>
          <w:highlight w:val="none"/>
          <w:lang w:eastAsia="zh-CN"/>
        </w:rPr>
        <w:t>）</w:t>
      </w:r>
      <w:r>
        <w:rPr>
          <w:rFonts w:hint="eastAsia" w:hAnsi="宋体" w:eastAsia="宋体" w:cs="宋体"/>
          <w:color w:val="auto"/>
          <w:highlight w:val="none"/>
        </w:rPr>
        <w:t>单位负责人为同一人或者存在直接控股、管理关系的不同</w:t>
      </w:r>
      <w:r>
        <w:rPr>
          <w:rFonts w:hint="eastAsia" w:hAnsi="宋体"/>
          <w:color w:val="auto"/>
          <w:spacing w:val="10"/>
          <w:highlight w:val="none"/>
        </w:rPr>
        <w:t>比选申请人</w:t>
      </w:r>
      <w:r>
        <w:rPr>
          <w:rFonts w:hint="eastAsia" w:hAnsi="宋体" w:eastAsia="宋体" w:cs="宋体"/>
          <w:color w:val="auto"/>
          <w:highlight w:val="none"/>
        </w:rPr>
        <w:t>，不得同时参加同一项目的比选活动。（生产型企业生产场地为同一地址的，销售型企业之间股东有关联的，一律视为有直接控股、管理关系。</w:t>
      </w:r>
      <w:r>
        <w:rPr>
          <w:rFonts w:hint="eastAsia" w:hAnsi="宋体"/>
          <w:color w:val="auto"/>
          <w:spacing w:val="10"/>
          <w:highlight w:val="none"/>
        </w:rPr>
        <w:t>比选申请人</w:t>
      </w:r>
      <w:r>
        <w:rPr>
          <w:rFonts w:hint="eastAsia" w:hAnsi="宋体" w:eastAsia="宋体" w:cs="宋体"/>
          <w:color w:val="auto"/>
          <w:highlight w:val="none"/>
        </w:rPr>
        <w:t>之间有上述关系的，将给予列入不良记录名单、3年内不得参加本公司选聘活动的处罚。）</w:t>
      </w:r>
    </w:p>
    <w:p w14:paraId="493ADEE2">
      <w:pPr>
        <w:pStyle w:val="8"/>
        <w:spacing w:line="360" w:lineRule="auto"/>
        <w:ind w:firstLine="480" w:firstLineChars="200"/>
        <w:rPr>
          <w:rFonts w:hint="default" w:hAnsi="宋体" w:eastAsia="宋体" w:cs="宋体"/>
          <w:color w:val="auto"/>
          <w:highlight w:val="none"/>
          <w:lang w:val="en-US" w:eastAsia="zh-CN"/>
        </w:rPr>
      </w:pPr>
      <w:r>
        <w:rPr>
          <w:rFonts w:hint="eastAsia" w:hAnsi="宋体" w:eastAsia="宋体" w:cs="宋体"/>
          <w:color w:val="auto"/>
          <w:highlight w:val="none"/>
          <w:lang w:eastAsia="zh-CN"/>
        </w:rPr>
        <w:t>（</w:t>
      </w:r>
      <w:r>
        <w:rPr>
          <w:rFonts w:hint="eastAsia" w:hAnsi="宋体" w:eastAsia="宋体" w:cs="宋体"/>
          <w:color w:val="auto"/>
          <w:highlight w:val="none"/>
          <w:lang w:val="en-US" w:eastAsia="zh-CN"/>
        </w:rPr>
        <w:t>2</w:t>
      </w:r>
      <w:r>
        <w:rPr>
          <w:rFonts w:hint="eastAsia" w:hAnsi="宋体" w:eastAsia="宋体" w:cs="宋体"/>
          <w:color w:val="auto"/>
          <w:highlight w:val="none"/>
          <w:lang w:eastAsia="zh-CN"/>
        </w:rPr>
        <w:t>）</w:t>
      </w:r>
      <w:r>
        <w:rPr>
          <w:rFonts w:hint="eastAsia" w:hAnsi="宋体" w:eastAsia="宋体" w:cs="宋体"/>
          <w:color w:val="auto"/>
          <w:highlight w:val="none"/>
          <w:lang w:val="en-US" w:eastAsia="zh-CN"/>
        </w:rPr>
        <w:t>满足《消防技术服务机构从业条件》（应急 201988号）规定的从业条件。</w:t>
      </w:r>
    </w:p>
    <w:p w14:paraId="0F3B5023">
      <w:pPr>
        <w:pStyle w:val="8"/>
        <w:spacing w:line="360" w:lineRule="auto"/>
        <w:ind w:firstLine="480" w:firstLineChars="200"/>
        <w:rPr>
          <w:rFonts w:hint="eastAsia" w:eastAsia="宋体"/>
          <w:color w:val="auto"/>
          <w:highlight w:val="none"/>
        </w:rPr>
      </w:pPr>
      <w:r>
        <w:rPr>
          <w:color w:val="auto"/>
          <w:highlight w:val="none"/>
        </w:rPr>
        <w:t>3.</w:t>
      </w:r>
      <w:r>
        <w:rPr>
          <w:rFonts w:hint="eastAsia" w:eastAsia="宋体"/>
          <w:color w:val="auto"/>
          <w:highlight w:val="none"/>
        </w:rPr>
        <w:t>8</w:t>
      </w:r>
      <w:r>
        <w:rPr>
          <w:color w:val="auto"/>
          <w:highlight w:val="none"/>
        </w:rPr>
        <w:t xml:space="preserve"> </w:t>
      </w:r>
      <w:r>
        <w:rPr>
          <w:rFonts w:hint="eastAsia" w:hAnsi="宋体" w:eastAsia="宋体" w:cs="宋体"/>
          <w:color w:val="auto"/>
          <w:highlight w:val="none"/>
        </w:rPr>
        <w:t>本项目不接受联合体比选申请。</w:t>
      </w:r>
      <w:bookmarkStart w:id="75" w:name="_GoBack"/>
      <w:bookmarkEnd w:id="75"/>
    </w:p>
    <w:p w14:paraId="40D0B166">
      <w:pPr>
        <w:pStyle w:val="4"/>
        <w:tabs>
          <w:tab w:val="left" w:pos="700"/>
        </w:tabs>
        <w:spacing w:before="260" w:after="260" w:line="360" w:lineRule="auto"/>
        <w:rPr>
          <w:rFonts w:ascii="宋体" w:hAnsi="宋体"/>
          <w:highlight w:val="none"/>
        </w:rPr>
      </w:pPr>
      <w:bookmarkStart w:id="40" w:name="_Toc32447"/>
      <w:bookmarkStart w:id="41" w:name="_Toc9034"/>
      <w:r>
        <w:rPr>
          <w:rFonts w:hint="eastAsia" w:ascii="宋体" w:hAnsi="宋体"/>
          <w:sz w:val="24"/>
          <w:szCs w:val="24"/>
          <w:highlight w:val="none"/>
        </w:rPr>
        <w:t>4．比选文件的获取</w:t>
      </w:r>
      <w:bookmarkEnd w:id="32"/>
      <w:bookmarkEnd w:id="33"/>
      <w:bookmarkEnd w:id="34"/>
      <w:bookmarkEnd w:id="35"/>
      <w:bookmarkEnd w:id="36"/>
      <w:bookmarkEnd w:id="37"/>
      <w:bookmarkEnd w:id="38"/>
      <w:bookmarkEnd w:id="39"/>
      <w:bookmarkEnd w:id="40"/>
      <w:bookmarkEnd w:id="41"/>
    </w:p>
    <w:p w14:paraId="6359D271">
      <w:pPr>
        <w:adjustRightInd w:val="0"/>
        <w:snapToGrid w:val="0"/>
        <w:spacing w:line="360" w:lineRule="auto"/>
        <w:ind w:firstLine="520" w:firstLineChars="200"/>
        <w:rPr>
          <w:rFonts w:hint="eastAsia" w:ascii="宋体" w:hAnsi="宋体"/>
          <w:spacing w:val="10"/>
          <w:highlight w:val="none"/>
        </w:rPr>
      </w:pPr>
      <w:bookmarkStart w:id="42" w:name="_Toc505098235"/>
      <w:bookmarkStart w:id="43" w:name="_Toc505097980"/>
      <w:bookmarkStart w:id="44" w:name="_Toc463363293"/>
      <w:bookmarkStart w:id="45" w:name="_Toc505097981"/>
      <w:bookmarkStart w:id="46" w:name="_Toc387928988"/>
      <w:bookmarkStart w:id="47" w:name="_Toc10599"/>
      <w:bookmarkStart w:id="48" w:name="_Toc10173"/>
      <w:bookmarkStart w:id="49" w:name="_Toc463363294"/>
      <w:bookmarkStart w:id="50" w:name="_Toc2246"/>
      <w:bookmarkStart w:id="51" w:name="_Toc389119582"/>
      <w:bookmarkStart w:id="52" w:name="_Toc505098236"/>
      <w:bookmarkStart w:id="53" w:name="_Toc387929651"/>
      <w:bookmarkStart w:id="54" w:name="_Toc387929094"/>
      <w:r>
        <w:rPr>
          <w:rFonts w:hint="eastAsia" w:ascii="宋体" w:hAnsi="宋体"/>
          <w:spacing w:val="10"/>
          <w:highlight w:val="none"/>
        </w:rPr>
        <w:t>4.1凡有意的比选申请人，请于</w:t>
      </w:r>
      <w:r>
        <w:rPr>
          <w:rFonts w:hint="eastAsia" w:ascii="宋体" w:hAnsi="宋体"/>
          <w:spacing w:val="10"/>
          <w:highlight w:val="none"/>
          <w:u w:val="single"/>
        </w:rPr>
        <w:t>2025年</w:t>
      </w:r>
      <w:r>
        <w:rPr>
          <w:rFonts w:hint="eastAsia" w:ascii="宋体" w:hAnsi="宋体"/>
          <w:spacing w:val="10"/>
          <w:highlight w:val="none"/>
          <w:u w:val="single"/>
          <w:lang w:val="en-US" w:eastAsia="zh-CN"/>
        </w:rPr>
        <w:t>3</w:t>
      </w:r>
      <w:r>
        <w:rPr>
          <w:rFonts w:hint="eastAsia" w:ascii="宋体" w:hAnsi="宋体"/>
          <w:spacing w:val="10"/>
          <w:highlight w:val="none"/>
          <w:u w:val="single"/>
        </w:rPr>
        <w:t>月</w:t>
      </w:r>
      <w:r>
        <w:rPr>
          <w:rFonts w:hint="eastAsia" w:ascii="宋体" w:hAnsi="宋体"/>
          <w:spacing w:val="10"/>
          <w:highlight w:val="none"/>
          <w:u w:val="single"/>
          <w:lang w:val="en-US" w:eastAsia="zh-CN"/>
        </w:rPr>
        <w:t>11</w:t>
      </w:r>
      <w:r>
        <w:rPr>
          <w:rFonts w:hint="eastAsia" w:ascii="宋体" w:hAnsi="宋体"/>
          <w:spacing w:val="10"/>
          <w:highlight w:val="none"/>
          <w:u w:val="single"/>
        </w:rPr>
        <w:t>日至2025年</w:t>
      </w:r>
      <w:r>
        <w:rPr>
          <w:rFonts w:hint="eastAsia" w:ascii="宋体" w:hAnsi="宋体"/>
          <w:spacing w:val="10"/>
          <w:highlight w:val="none"/>
          <w:u w:val="single"/>
          <w:lang w:val="en-US" w:eastAsia="zh-CN"/>
        </w:rPr>
        <w:t>3</w:t>
      </w:r>
      <w:r>
        <w:rPr>
          <w:rFonts w:hint="eastAsia" w:ascii="宋体" w:hAnsi="宋体"/>
          <w:spacing w:val="10"/>
          <w:highlight w:val="none"/>
          <w:u w:val="single"/>
        </w:rPr>
        <w:t>月</w:t>
      </w:r>
      <w:r>
        <w:rPr>
          <w:rFonts w:hint="eastAsia" w:ascii="宋体" w:hAnsi="宋体"/>
          <w:spacing w:val="10"/>
          <w:highlight w:val="none"/>
          <w:u w:val="single"/>
          <w:lang w:val="en-US" w:eastAsia="zh-CN"/>
        </w:rPr>
        <w:t>15</w:t>
      </w:r>
      <w:r>
        <w:rPr>
          <w:rFonts w:hint="eastAsia" w:ascii="宋体" w:hAnsi="宋体"/>
          <w:spacing w:val="10"/>
          <w:highlight w:val="none"/>
          <w:u w:val="single"/>
        </w:rPr>
        <w:t>日</w:t>
      </w:r>
      <w:r>
        <w:rPr>
          <w:rFonts w:hint="eastAsia" w:ascii="宋体" w:hAnsi="宋体"/>
          <w:spacing w:val="10"/>
          <w:highlight w:val="none"/>
        </w:rPr>
        <w:t>，每日上午</w:t>
      </w:r>
      <w:r>
        <w:rPr>
          <w:rFonts w:hint="eastAsia" w:ascii="宋体" w:hAnsi="宋体"/>
          <w:spacing w:val="10"/>
          <w:highlight w:val="none"/>
          <w:u w:val="single"/>
        </w:rPr>
        <w:t xml:space="preserve"> 9：00</w:t>
      </w:r>
      <w:r>
        <w:rPr>
          <w:rFonts w:hint="eastAsia" w:ascii="宋体" w:hAnsi="宋体"/>
          <w:spacing w:val="10"/>
          <w:highlight w:val="none"/>
        </w:rPr>
        <w:t>时至</w:t>
      </w:r>
      <w:r>
        <w:rPr>
          <w:rFonts w:hint="eastAsia" w:ascii="宋体" w:hAnsi="宋体"/>
          <w:spacing w:val="10"/>
          <w:highlight w:val="none"/>
          <w:u w:val="single"/>
        </w:rPr>
        <w:t>17：00</w:t>
      </w:r>
      <w:r>
        <w:rPr>
          <w:rFonts w:hint="eastAsia" w:ascii="宋体" w:hAnsi="宋体"/>
          <w:spacing w:val="10"/>
          <w:highlight w:val="none"/>
        </w:rPr>
        <w:t>时（北京时间，下同）</w:t>
      </w:r>
      <w:bookmarkEnd w:id="42"/>
      <w:bookmarkEnd w:id="43"/>
      <w:bookmarkEnd w:id="44"/>
      <w:r>
        <w:rPr>
          <w:rFonts w:hint="eastAsia" w:ascii="宋体" w:hAnsi="宋体"/>
          <w:spacing w:val="10"/>
          <w:highlight w:val="none"/>
        </w:rPr>
        <w:t>通过网络（远程）获取比选文件。</w:t>
      </w:r>
    </w:p>
    <w:p w14:paraId="7BF700FD">
      <w:pPr>
        <w:adjustRightInd w:val="0"/>
        <w:snapToGrid w:val="0"/>
        <w:spacing w:line="360" w:lineRule="auto"/>
        <w:ind w:firstLine="520" w:firstLineChars="200"/>
        <w:rPr>
          <w:rFonts w:hint="eastAsia" w:ascii="宋体" w:hAnsi="宋体"/>
          <w:spacing w:val="10"/>
          <w:highlight w:val="none"/>
        </w:rPr>
      </w:pPr>
      <w:r>
        <w:rPr>
          <w:rFonts w:hint="eastAsia" w:ascii="宋体" w:hAnsi="宋体"/>
          <w:spacing w:val="10"/>
          <w:highlight w:val="none"/>
        </w:rPr>
        <w:t>4.2比选文件获取方式：在“天府阳光采购服务平台”（以下简称平台）获取比选文件。请比选申请人务必按照平台操作指南进行操作。</w:t>
      </w:r>
    </w:p>
    <w:p w14:paraId="3535FF96">
      <w:pPr>
        <w:adjustRightInd w:val="0"/>
        <w:snapToGrid w:val="0"/>
        <w:spacing w:line="360" w:lineRule="auto"/>
        <w:ind w:firstLine="520" w:firstLineChars="200"/>
        <w:rPr>
          <w:rFonts w:hint="eastAsia" w:ascii="宋体" w:hAnsi="宋体"/>
          <w:spacing w:val="10"/>
          <w:highlight w:val="none"/>
        </w:rPr>
      </w:pPr>
      <w:r>
        <w:rPr>
          <w:rFonts w:hint="eastAsia" w:ascii="宋体" w:hAnsi="宋体"/>
          <w:spacing w:val="10"/>
          <w:highlight w:val="none"/>
        </w:rPr>
        <w:t>4.3本项目比选文件有偿获取，比选文件售价：人民币350元/份(比选文件售后不退,投标资格不能转让)，其中50元为平台信息费由比选申请人在平台获取比选文件时支付给平台。比选申请人根据平台操作指南正确获取比选文件后，请按比选文件第二章“比选须知前附表”第28条中报名费收款账号信息支付比选文件资料费（300元），未支付比选文件资料费的比选申请人，其比选申请文件不予接收。</w:t>
      </w:r>
    </w:p>
    <w:p w14:paraId="62349D05">
      <w:pPr>
        <w:adjustRightInd w:val="0"/>
        <w:snapToGrid w:val="0"/>
        <w:spacing w:line="360" w:lineRule="auto"/>
        <w:ind w:firstLine="522" w:firstLineChars="200"/>
        <w:rPr>
          <w:rFonts w:ascii="宋体" w:hAnsi="宋体"/>
          <w:b/>
          <w:bCs/>
          <w:spacing w:val="10"/>
          <w:highlight w:val="none"/>
        </w:rPr>
      </w:pPr>
      <w:r>
        <w:rPr>
          <w:rFonts w:hint="eastAsia" w:ascii="宋体" w:hAnsi="宋体"/>
          <w:b/>
          <w:bCs/>
          <w:spacing w:val="10"/>
          <w:highlight w:val="none"/>
        </w:rPr>
        <w:t>注：请比选申请人在递交比选申请文件时向代理机构出示比选文件资料费付款截图。</w:t>
      </w:r>
    </w:p>
    <w:p w14:paraId="10D17B5E">
      <w:pPr>
        <w:pStyle w:val="4"/>
        <w:tabs>
          <w:tab w:val="left" w:pos="700"/>
        </w:tabs>
        <w:spacing w:before="260" w:after="260" w:line="360" w:lineRule="auto"/>
        <w:rPr>
          <w:rFonts w:ascii="宋体" w:hAnsi="宋体"/>
          <w:sz w:val="24"/>
          <w:szCs w:val="24"/>
          <w:highlight w:val="none"/>
        </w:rPr>
      </w:pPr>
      <w:r>
        <w:rPr>
          <w:rFonts w:hint="eastAsia" w:ascii="宋体" w:hAnsi="宋体"/>
          <w:sz w:val="24"/>
          <w:szCs w:val="24"/>
          <w:highlight w:val="none"/>
        </w:rPr>
        <w:t>5．比选申请文件的递交</w:t>
      </w:r>
      <w:bookmarkEnd w:id="45"/>
      <w:bookmarkEnd w:id="46"/>
      <w:bookmarkEnd w:id="47"/>
      <w:bookmarkEnd w:id="48"/>
      <w:bookmarkEnd w:id="49"/>
      <w:bookmarkEnd w:id="50"/>
      <w:bookmarkEnd w:id="51"/>
      <w:bookmarkEnd w:id="52"/>
      <w:bookmarkEnd w:id="53"/>
      <w:bookmarkEnd w:id="54"/>
    </w:p>
    <w:p w14:paraId="2CA0AF6C">
      <w:pPr>
        <w:spacing w:line="360" w:lineRule="auto"/>
        <w:ind w:firstLine="480" w:firstLineChars="200"/>
        <w:rPr>
          <w:rFonts w:ascii="宋体" w:hAnsi="宋体"/>
          <w:spacing w:val="10"/>
          <w:highlight w:val="none"/>
        </w:rPr>
      </w:pPr>
      <w:r>
        <w:rPr>
          <w:rFonts w:hint="eastAsia" w:ascii="宋体" w:hAnsi="宋体"/>
          <w:highlight w:val="none"/>
        </w:rPr>
        <w:t>5.1比选申请</w:t>
      </w:r>
      <w:r>
        <w:rPr>
          <w:rFonts w:hint="eastAsia" w:ascii="宋体" w:hAnsi="宋体"/>
          <w:spacing w:val="10"/>
          <w:highlight w:val="none"/>
        </w:rPr>
        <w:t>文件递交的截止时间为</w:t>
      </w:r>
      <w:r>
        <w:rPr>
          <w:rFonts w:hint="eastAsia" w:ascii="宋体" w:hAnsi="宋体"/>
          <w:spacing w:val="10"/>
          <w:highlight w:val="none"/>
          <w:u w:val="single"/>
        </w:rPr>
        <w:t>2025年</w:t>
      </w:r>
      <w:r>
        <w:rPr>
          <w:rFonts w:hint="eastAsia" w:ascii="宋体" w:hAnsi="宋体"/>
          <w:spacing w:val="10"/>
          <w:highlight w:val="none"/>
          <w:u w:val="single"/>
          <w:lang w:val="en-US" w:eastAsia="zh-CN"/>
        </w:rPr>
        <w:t>3</w:t>
      </w:r>
      <w:r>
        <w:rPr>
          <w:rFonts w:ascii="宋体" w:hAnsi="宋体"/>
          <w:spacing w:val="10"/>
          <w:highlight w:val="none"/>
          <w:u w:val="single"/>
        </w:rPr>
        <w:t>月</w:t>
      </w:r>
      <w:r>
        <w:rPr>
          <w:rFonts w:hint="eastAsia" w:ascii="宋体" w:hAnsi="宋体"/>
          <w:spacing w:val="10"/>
          <w:highlight w:val="none"/>
          <w:u w:val="single"/>
          <w:lang w:val="en-US" w:eastAsia="zh-CN"/>
        </w:rPr>
        <w:t>20</w:t>
      </w:r>
      <w:r>
        <w:rPr>
          <w:rFonts w:ascii="宋体" w:hAnsi="宋体"/>
          <w:spacing w:val="10"/>
          <w:highlight w:val="none"/>
          <w:u w:val="single"/>
        </w:rPr>
        <w:t>日14</w:t>
      </w:r>
      <w:r>
        <w:rPr>
          <w:rFonts w:hint="eastAsia" w:ascii="宋体" w:hAnsi="宋体"/>
          <w:spacing w:val="10"/>
          <w:highlight w:val="none"/>
        </w:rPr>
        <w:t>时</w:t>
      </w:r>
      <w:r>
        <w:rPr>
          <w:rFonts w:hint="eastAsia" w:ascii="宋体" w:hAnsi="宋体"/>
          <w:spacing w:val="10"/>
          <w:highlight w:val="none"/>
          <w:u w:val="single"/>
          <w:lang w:val="en-US" w:eastAsia="zh-CN"/>
        </w:rPr>
        <w:t>3</w:t>
      </w:r>
      <w:r>
        <w:rPr>
          <w:rFonts w:hint="eastAsia" w:ascii="宋体" w:hAnsi="宋体"/>
          <w:spacing w:val="10"/>
          <w:highlight w:val="none"/>
          <w:u w:val="single"/>
        </w:rPr>
        <w:t>0</w:t>
      </w:r>
      <w:r>
        <w:rPr>
          <w:rFonts w:hint="eastAsia" w:ascii="宋体" w:hAnsi="宋体"/>
          <w:spacing w:val="10"/>
          <w:highlight w:val="none"/>
        </w:rPr>
        <w:t>分，递交地点为</w:t>
      </w:r>
      <w:r>
        <w:rPr>
          <w:rFonts w:hint="eastAsia" w:ascii="宋体" w:hAnsi="宋体"/>
          <w:b/>
          <w:bCs/>
          <w:spacing w:val="10"/>
          <w:highlight w:val="none"/>
          <w:u w:val="single"/>
        </w:rPr>
        <w:t>成都市临江西路1号川投大厦14楼</w:t>
      </w:r>
      <w:r>
        <w:rPr>
          <w:rFonts w:hint="eastAsia" w:ascii="宋体" w:hAnsi="宋体"/>
          <w:spacing w:val="10"/>
          <w:highlight w:val="none"/>
        </w:rPr>
        <w:t>。</w:t>
      </w:r>
    </w:p>
    <w:p w14:paraId="337C3545">
      <w:pPr>
        <w:spacing w:line="360" w:lineRule="auto"/>
        <w:ind w:firstLine="480" w:firstLineChars="200"/>
        <w:rPr>
          <w:rFonts w:hint="eastAsia" w:ascii="宋体" w:hAnsi="宋体"/>
          <w:highlight w:val="none"/>
        </w:rPr>
      </w:pPr>
      <w:r>
        <w:rPr>
          <w:rFonts w:hint="eastAsia" w:ascii="宋体" w:hAnsi="宋体"/>
          <w:highlight w:val="none"/>
        </w:rPr>
        <w:t>5.2 逾期送达的或者未送达指定地点的比选申请文件，比选人不予受理。</w:t>
      </w:r>
      <w:bookmarkStart w:id="55" w:name="_Toc387929652"/>
      <w:bookmarkStart w:id="56" w:name="_Toc505098237"/>
      <w:bookmarkStart w:id="57" w:name="_Toc387929095"/>
      <w:bookmarkStart w:id="58" w:name="_Toc387928989"/>
      <w:bookmarkStart w:id="59" w:name="_Toc463363295"/>
      <w:bookmarkStart w:id="60" w:name="_Toc711"/>
      <w:bookmarkStart w:id="61" w:name="_Toc389119583"/>
      <w:bookmarkStart w:id="62" w:name="_Toc23914"/>
      <w:bookmarkStart w:id="63" w:name="_Toc505097982"/>
      <w:bookmarkStart w:id="64" w:name="_Toc1144"/>
    </w:p>
    <w:p w14:paraId="2C8BA554">
      <w:pPr>
        <w:pStyle w:val="4"/>
        <w:tabs>
          <w:tab w:val="left" w:pos="700"/>
        </w:tabs>
        <w:spacing w:before="260" w:after="260" w:line="360" w:lineRule="auto"/>
        <w:rPr>
          <w:rFonts w:ascii="宋体" w:hAnsi="宋体"/>
          <w:sz w:val="24"/>
          <w:szCs w:val="24"/>
          <w:highlight w:val="none"/>
        </w:rPr>
      </w:pPr>
      <w:r>
        <w:rPr>
          <w:rFonts w:hint="eastAsia" w:ascii="宋体" w:hAnsi="宋体"/>
          <w:sz w:val="24"/>
          <w:szCs w:val="24"/>
          <w:highlight w:val="none"/>
        </w:rPr>
        <w:t>6．发布公告的媒介</w:t>
      </w:r>
      <w:bookmarkEnd w:id="55"/>
      <w:bookmarkEnd w:id="56"/>
      <w:bookmarkEnd w:id="57"/>
      <w:bookmarkEnd w:id="58"/>
      <w:bookmarkEnd w:id="59"/>
      <w:bookmarkEnd w:id="60"/>
      <w:bookmarkEnd w:id="61"/>
      <w:bookmarkEnd w:id="62"/>
      <w:bookmarkEnd w:id="63"/>
      <w:bookmarkEnd w:id="64"/>
    </w:p>
    <w:p w14:paraId="217B1629">
      <w:pPr>
        <w:spacing w:line="360" w:lineRule="auto"/>
        <w:ind w:firstLine="480" w:firstLineChars="200"/>
        <w:rPr>
          <w:rFonts w:hint="eastAsia" w:ascii="宋体" w:hAnsi="宋体"/>
          <w:highlight w:val="none"/>
        </w:rPr>
      </w:pPr>
      <w:r>
        <w:rPr>
          <w:rFonts w:hint="eastAsia" w:ascii="宋体" w:hAnsi="宋体"/>
          <w:highlight w:val="none"/>
        </w:rPr>
        <w:t>本次比选公告在《中国招标投标公共服务平台》（www.cebpubservice.com/）、四川省投资集团有限责任公司网站（https://www.invest.com.cn/）和《天府阳光采购服务平台》（https://www.tfygcgfw.com/）上发布。</w:t>
      </w:r>
      <w:bookmarkStart w:id="65" w:name="_Toc505097983"/>
      <w:bookmarkStart w:id="66" w:name="_Toc387929653"/>
      <w:bookmarkStart w:id="67" w:name="_Toc4427"/>
      <w:bookmarkStart w:id="68" w:name="_Toc5728"/>
      <w:bookmarkStart w:id="69" w:name="_Toc463363296"/>
      <w:bookmarkStart w:id="70" w:name="_Toc29636"/>
      <w:bookmarkStart w:id="71" w:name="_Toc387929096"/>
      <w:bookmarkStart w:id="72" w:name="_Toc505098238"/>
      <w:bookmarkStart w:id="73" w:name="_Toc387928990"/>
      <w:bookmarkStart w:id="74" w:name="_Toc389119584"/>
    </w:p>
    <w:p w14:paraId="1B9384B2">
      <w:pPr>
        <w:pStyle w:val="4"/>
        <w:tabs>
          <w:tab w:val="left" w:pos="700"/>
        </w:tabs>
        <w:spacing w:before="260" w:after="260" w:line="360" w:lineRule="auto"/>
        <w:rPr>
          <w:rFonts w:ascii="宋体" w:hAnsi="宋体"/>
          <w:highlight w:val="none"/>
        </w:rPr>
      </w:pPr>
      <w:r>
        <w:rPr>
          <w:rFonts w:hint="eastAsia" w:ascii="宋体" w:hAnsi="宋体"/>
          <w:highlight w:val="none"/>
        </w:rPr>
        <w:t>7．联系方式</w:t>
      </w:r>
      <w:bookmarkEnd w:id="65"/>
      <w:bookmarkEnd w:id="66"/>
      <w:bookmarkEnd w:id="67"/>
      <w:bookmarkEnd w:id="68"/>
      <w:bookmarkEnd w:id="69"/>
      <w:bookmarkEnd w:id="70"/>
      <w:bookmarkEnd w:id="71"/>
      <w:bookmarkEnd w:id="72"/>
      <w:bookmarkEnd w:id="73"/>
      <w:bookmarkEnd w:id="74"/>
    </w:p>
    <w:p w14:paraId="64BA240B">
      <w:pPr>
        <w:spacing w:line="360" w:lineRule="auto"/>
        <w:ind w:firstLine="480" w:firstLineChars="200"/>
        <w:rPr>
          <w:rFonts w:ascii="宋体" w:hAnsi="宋体"/>
          <w:highlight w:val="none"/>
        </w:rPr>
      </w:pPr>
      <w:r>
        <w:rPr>
          <w:rFonts w:hint="eastAsia" w:ascii="宋体" w:hAnsi="宋体"/>
          <w:highlight w:val="none"/>
        </w:rPr>
        <w:t xml:space="preserve">比 选 </w:t>
      </w:r>
      <w:r>
        <w:rPr>
          <w:rFonts w:ascii="宋体" w:hAnsi="宋体"/>
          <w:highlight w:val="none"/>
        </w:rPr>
        <w:t>人：</w:t>
      </w:r>
      <w:r>
        <w:rPr>
          <w:rFonts w:hint="eastAsia" w:ascii="宋体" w:hAnsi="宋体"/>
          <w:highlight w:val="none"/>
        </w:rPr>
        <w:t>四川川投大健康产业集团有限责任公司</w:t>
      </w:r>
    </w:p>
    <w:p w14:paraId="768808FC">
      <w:pPr>
        <w:spacing w:line="360" w:lineRule="auto"/>
        <w:ind w:firstLine="480" w:firstLineChars="200"/>
        <w:rPr>
          <w:rFonts w:ascii="宋体" w:hAnsi="宋体"/>
          <w:highlight w:val="none"/>
        </w:rPr>
      </w:pPr>
      <w:r>
        <w:rPr>
          <w:rFonts w:ascii="宋体" w:hAnsi="宋体"/>
          <w:highlight w:val="none"/>
        </w:rPr>
        <w:t>地</w:t>
      </w:r>
      <w:r>
        <w:rPr>
          <w:rFonts w:hint="eastAsia" w:ascii="宋体" w:hAnsi="宋体"/>
          <w:highlight w:val="none"/>
        </w:rPr>
        <w:t xml:space="preserve">    </w:t>
      </w:r>
      <w:r>
        <w:rPr>
          <w:rFonts w:ascii="宋体" w:hAnsi="宋体"/>
          <w:highlight w:val="none"/>
        </w:rPr>
        <w:t>址：</w:t>
      </w:r>
      <w:r>
        <w:rPr>
          <w:rFonts w:hint="eastAsia" w:ascii="宋体" w:hAnsi="宋体"/>
          <w:highlight w:val="none"/>
        </w:rPr>
        <w:t>成都市临江西路1号川投大厦14楼</w:t>
      </w:r>
    </w:p>
    <w:p w14:paraId="6B9B49E0">
      <w:pPr>
        <w:spacing w:line="360" w:lineRule="auto"/>
        <w:ind w:firstLine="480" w:firstLineChars="200"/>
        <w:rPr>
          <w:rFonts w:hint="eastAsia" w:ascii="宋体" w:hAnsi="宋体"/>
          <w:highlight w:val="none"/>
        </w:rPr>
      </w:pPr>
      <w:r>
        <w:rPr>
          <w:rFonts w:hint="eastAsia" w:ascii="宋体" w:hAnsi="宋体"/>
          <w:highlight w:val="none"/>
        </w:rPr>
        <w:t>联 系 人：张老师</w:t>
      </w:r>
    </w:p>
    <w:p w14:paraId="1D03F2C0">
      <w:pPr>
        <w:spacing w:line="360" w:lineRule="auto"/>
        <w:ind w:firstLine="480" w:firstLineChars="200"/>
        <w:rPr>
          <w:rFonts w:hint="eastAsia" w:ascii="宋体" w:hAnsi="宋体"/>
          <w:highlight w:val="none"/>
        </w:rPr>
      </w:pPr>
      <w:r>
        <w:rPr>
          <w:rFonts w:hint="eastAsia" w:ascii="宋体" w:hAnsi="宋体"/>
          <w:highlight w:val="none"/>
        </w:rPr>
        <w:t>电    话：</w:t>
      </w:r>
      <w:r>
        <w:rPr>
          <w:rFonts w:ascii="宋体" w:hAnsi="宋体"/>
          <w:highlight w:val="none"/>
        </w:rPr>
        <w:t>13880228064</w:t>
      </w:r>
    </w:p>
    <w:p w14:paraId="3F10857A">
      <w:pPr>
        <w:ind w:firstLine="480" w:firstLineChars="200"/>
        <w:rPr>
          <w:rFonts w:hint="eastAsia" w:ascii="宋体" w:hAnsi="宋体"/>
          <w:highlight w:val="none"/>
        </w:rPr>
      </w:pPr>
    </w:p>
    <w:p w14:paraId="21ACF81D">
      <w:pPr>
        <w:spacing w:line="360" w:lineRule="auto"/>
        <w:ind w:firstLine="480" w:firstLineChars="200"/>
        <w:rPr>
          <w:rFonts w:ascii="宋体" w:hAnsi="宋体"/>
          <w:highlight w:val="none"/>
        </w:rPr>
      </w:pPr>
      <w:r>
        <w:rPr>
          <w:rFonts w:hint="eastAsia" w:ascii="宋体" w:hAnsi="宋体"/>
          <w:highlight w:val="none"/>
        </w:rPr>
        <w:t>比选</w:t>
      </w:r>
      <w:r>
        <w:rPr>
          <w:rFonts w:ascii="宋体" w:hAnsi="宋体"/>
          <w:highlight w:val="none"/>
        </w:rPr>
        <w:t>代理机构：</w:t>
      </w:r>
      <w:r>
        <w:rPr>
          <w:rFonts w:hint="eastAsia" w:ascii="宋体" w:hAnsi="宋体"/>
          <w:highlight w:val="none"/>
        </w:rPr>
        <w:t>四川同方建设咨询有限公司</w:t>
      </w:r>
    </w:p>
    <w:p w14:paraId="04DB1D13">
      <w:pPr>
        <w:spacing w:line="360" w:lineRule="auto"/>
        <w:ind w:firstLine="480" w:firstLineChars="200"/>
        <w:rPr>
          <w:rFonts w:ascii="宋体" w:hAnsi="宋体"/>
          <w:highlight w:val="none"/>
        </w:rPr>
      </w:pPr>
      <w:r>
        <w:rPr>
          <w:rFonts w:ascii="宋体" w:hAnsi="宋体"/>
          <w:highlight w:val="none"/>
        </w:rPr>
        <w:t>地  </w:t>
      </w:r>
      <w:r>
        <w:rPr>
          <w:rFonts w:hint="eastAsia" w:ascii="宋体" w:hAnsi="宋体"/>
          <w:highlight w:val="none"/>
        </w:rPr>
        <w:t xml:space="preserve"> </w:t>
      </w:r>
      <w:r>
        <w:rPr>
          <w:rFonts w:ascii="宋体" w:hAnsi="宋体"/>
          <w:highlight w:val="none"/>
        </w:rPr>
        <w:t>址：</w:t>
      </w:r>
      <w:r>
        <w:rPr>
          <w:rFonts w:hint="eastAsia" w:ascii="宋体" w:hAnsi="宋体"/>
          <w:highlight w:val="none"/>
        </w:rPr>
        <w:t>成都市青羊区西御街8号西御大厦A座24楼</w:t>
      </w:r>
    </w:p>
    <w:p w14:paraId="1BC959C7">
      <w:pPr>
        <w:spacing w:line="360" w:lineRule="auto"/>
        <w:ind w:firstLine="480" w:firstLineChars="200"/>
        <w:rPr>
          <w:rFonts w:ascii="宋体" w:hAnsi="宋体"/>
          <w:highlight w:val="none"/>
        </w:rPr>
      </w:pPr>
      <w:r>
        <w:rPr>
          <w:rFonts w:hint="eastAsia" w:ascii="宋体" w:hAnsi="宋体"/>
          <w:highlight w:val="none"/>
        </w:rPr>
        <w:t>联 系 人：魏先生</w:t>
      </w:r>
    </w:p>
    <w:p w14:paraId="71010A3C">
      <w:pPr>
        <w:ind w:firstLine="480" w:firstLineChars="200"/>
      </w:pPr>
      <w:r>
        <w:rPr>
          <w:rFonts w:hint="eastAsia" w:ascii="宋体" w:hAnsi="宋体"/>
          <w:highlight w:val="none"/>
        </w:rPr>
        <w:t xml:space="preserve">电    话：028-86155821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A3C0F"/>
    <w:rsid w:val="508A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qFormat/>
    <w:uiPriority w:val="0"/>
    <w:pPr>
      <w:keepNext/>
      <w:spacing w:before="240" w:after="60"/>
      <w:outlineLvl w:val="0"/>
    </w:pPr>
    <w:rPr>
      <w:rFonts w:ascii="Cambria" w:hAnsi="Cambria"/>
      <w:b/>
      <w:bCs/>
      <w:kern w:val="32"/>
      <w:sz w:val="32"/>
      <w:szCs w:val="32"/>
    </w:rPr>
  </w:style>
  <w:style w:type="paragraph" w:styleId="4">
    <w:name w:val="heading 3"/>
    <w:basedOn w:val="1"/>
    <w:next w:val="1"/>
    <w:qFormat/>
    <w:uiPriority w:val="0"/>
    <w:pPr>
      <w:keepNext/>
      <w:spacing w:before="240" w:after="60"/>
      <w:outlineLvl w:val="2"/>
    </w:pPr>
    <w:rPr>
      <w:rFonts w:ascii="Cambria" w:hAnsi="Cambria"/>
      <w:b/>
      <w:bCs/>
      <w:sz w:val="26"/>
      <w:szCs w:val="26"/>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color w:val="000000"/>
      <w:kern w:val="2"/>
      <w:sz w:val="21"/>
    </w:rPr>
  </w:style>
  <w:style w:type="paragraph" w:styleId="5">
    <w:name w:val="Normal (Web)"/>
    <w:basedOn w:val="1"/>
    <w:uiPriority w:val="0"/>
    <w:pPr>
      <w:spacing w:before="100" w:beforeAutospacing="1" w:after="100" w:afterAutospacing="1"/>
    </w:pPr>
  </w:style>
  <w:style w:type="paragraph" w:customStyle="1" w:styleId="8">
    <w:name w:val="Default"/>
    <w:qFormat/>
    <w:uiPriority w:val="0"/>
    <w:pPr>
      <w:widowControl w:val="0"/>
      <w:autoSpaceDE w:val="0"/>
      <w:autoSpaceDN w:val="0"/>
      <w:adjustRightInd w:val="0"/>
    </w:pPr>
    <w:rPr>
      <w:rFonts w:ascii="宋体" w:hAnsi="Times New Roman" w:eastAsia="Times New Roman" w:cs="Times New Roman"/>
      <w:color w:val="000000"/>
      <w:kern w:val="2"/>
      <w:sz w:val="24"/>
      <w:szCs w:val="22"/>
      <w:lang w:val="en-US" w:eastAsia="zh-CN" w:bidi="ar-SA"/>
    </w:rPr>
  </w:style>
  <w:style w:type="character" w:customStyle="1" w:styleId="9">
    <w:name w:val="标题 1 Char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2025-03-10T06:56:00Z</dcterms:created>
  <dc:creator>小小少年没有烦恼</dc:creator>
  <cp:lastModifiedBy>小小少年没有烦恼</cp:lastModifiedBy>
  <dcterms:modified xsi:type="dcterms:W3CDTF">2025-03-10T06:59:37Z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F34B251D76D049D29E3C86B4D24B992C_11</vt:lpwstr>
  </property>
  <property fmtid="{D5CDD505-2E9C-101B-9397-08002B2CF9AE}" pid="4" name="KSOTemplateDocerSaveRecord">
    <vt:lpwstr>eyJoZGlkIjoiYzkwMTZhMWU1MTYwZGVmZjRhNzY5MjM3NzdlYjBkZWMiLCJ1c2VySWQiOiIzNzQ3MzU0MDkifQ==</vt:lpwstr>
  </property>
</Properties>
</file>