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西昌川投大健康科技有限公司</w:t>
      </w:r>
    </w:p>
    <w:p>
      <w:pPr>
        <w:jc w:val="center"/>
        <w:rPr>
          <w:rFonts w:hint="eastAsia" w:ascii="Times New Roman" w:hAnsi="Times New Roman" w:eastAsia="宋体" w:cs="Times New Roman"/>
          <w:b/>
          <w:bCs/>
          <w:sz w:val="36"/>
          <w:szCs w:val="36"/>
        </w:rPr>
      </w:pPr>
      <w:bookmarkStart w:id="0" w:name="OLE_LINK1"/>
      <w:r>
        <w:rPr>
          <w:rFonts w:hint="eastAsia" w:ascii="Times New Roman" w:hAnsi="Times New Roman" w:eastAsia="宋体" w:cs="Times New Roman"/>
          <w:b/>
          <w:bCs/>
          <w:sz w:val="36"/>
          <w:szCs w:val="36"/>
        </w:rPr>
        <w:t>川投西昌医院2025年-2028年被服采购项目比选公告</w:t>
      </w:r>
      <w:bookmarkEnd w:id="0"/>
    </w:p>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 xml:space="preserve">一、基本情况  </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 xml:space="preserve">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spacing w:line="56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根据工作安排，拟通过</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方式选择和确</w:t>
      </w:r>
      <w:r>
        <w:rPr>
          <w:rFonts w:hint="eastAsia" w:ascii="宋体" w:hAnsi="宋体" w:eastAsia="宋体" w:cs="宋体"/>
          <w:color w:val="auto"/>
          <w:sz w:val="28"/>
          <w:szCs w:val="28"/>
          <w:highlight w:val="none"/>
          <w:lang w:eastAsia="zh-CN"/>
        </w:rPr>
        <w:t>定</w:t>
      </w:r>
      <w:r>
        <w:rPr>
          <w:rFonts w:hint="eastAsia" w:ascii="宋体" w:hAnsi="宋体" w:eastAsia="宋体" w:cs="宋体"/>
          <w:bCs w:val="0"/>
          <w:color w:val="auto"/>
          <w:sz w:val="28"/>
          <w:szCs w:val="28"/>
          <w:highlight w:val="none"/>
        </w:rPr>
        <w:t>川投西昌医院</w:t>
      </w:r>
      <w:r>
        <w:rPr>
          <w:rFonts w:hint="eastAsia" w:ascii="宋体" w:hAnsi="宋体" w:eastAsia="宋体" w:cs="宋体"/>
          <w:color w:val="auto"/>
          <w:sz w:val="28"/>
          <w:szCs w:val="28"/>
          <w:highlight w:val="none"/>
          <w:lang w:eastAsia="zh-CN"/>
        </w:rPr>
        <w:t>被服采购项目</w:t>
      </w:r>
      <w:r>
        <w:rPr>
          <w:rFonts w:hint="eastAsia" w:ascii="宋体" w:hAnsi="宋体" w:eastAsia="宋体" w:cs="宋体"/>
          <w:color w:val="auto"/>
          <w:sz w:val="28"/>
          <w:szCs w:val="28"/>
          <w:highlight w:val="none"/>
        </w:rPr>
        <w:t>的中选人</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具备资格的</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响应人（以下简称：响应人，合同中简称“乙方”）参与谈判。</w:t>
      </w:r>
    </w:p>
    <w:p>
      <w:pPr>
        <w:spacing w:line="560" w:lineRule="exact"/>
        <w:rPr>
          <w:rFonts w:hint="eastAsia" w:ascii="宋体" w:hAnsi="宋体" w:cs="宋体"/>
          <w:sz w:val="28"/>
          <w:szCs w:val="28"/>
        </w:rPr>
      </w:pPr>
      <w:bookmarkStart w:id="1" w:name="_Toc1542"/>
      <w:r>
        <w:rPr>
          <w:rFonts w:hint="eastAsia" w:ascii="宋体" w:hAnsi="宋体" w:cs="宋体"/>
          <w:b/>
          <w:sz w:val="28"/>
          <w:szCs w:val="28"/>
        </w:rPr>
        <w:t>二、资金来源：</w:t>
      </w:r>
      <w:r>
        <w:rPr>
          <w:rFonts w:ascii="宋体" w:hAnsi="宋体" w:cs="宋体"/>
          <w:sz w:val="28"/>
          <w:szCs w:val="28"/>
        </w:rPr>
        <w:t>单位自筹</w:t>
      </w:r>
    </w:p>
    <w:bookmarkEnd w:id="1"/>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val="0"/>
          <w:kern w:val="2"/>
          <w:sz w:val="28"/>
          <w:szCs w:val="28"/>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bCs w:val="0"/>
          <w:kern w:val="2"/>
          <w:sz w:val="28"/>
          <w:szCs w:val="28"/>
          <w:lang w:val="en-US" w:eastAsia="zh-CN" w:bidi="ar"/>
        </w:rPr>
        <w:t>采购项目简介</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本次采购为川投西昌医院</w:t>
      </w:r>
      <w:r>
        <w:rPr>
          <w:rFonts w:hint="eastAsia" w:ascii="宋体" w:hAnsi="宋体" w:eastAsia="宋体" w:cs="宋体"/>
          <w:color w:val="auto"/>
          <w:sz w:val="28"/>
          <w:szCs w:val="28"/>
          <w:highlight w:val="none"/>
          <w:lang w:eastAsia="zh"/>
        </w:rPr>
        <w:t>2025年-2028年</w:t>
      </w:r>
      <w:r>
        <w:rPr>
          <w:rFonts w:hint="eastAsia" w:ascii="宋体" w:hAnsi="宋体" w:eastAsia="宋体" w:cs="宋体"/>
          <w:kern w:val="2"/>
          <w:sz w:val="28"/>
          <w:szCs w:val="28"/>
          <w:lang w:val="en-US" w:eastAsia="zh-CN" w:bidi="ar"/>
        </w:rPr>
        <w:t>被服采购项目，响应人确保提供的被服满足医院使用需求。具体要求详见采购文件第五部分：技术规范书。</w:t>
      </w:r>
    </w:p>
    <w:p>
      <w:pPr>
        <w:numPr>
          <w:ilvl w:val="0"/>
          <w:numId w:val="0"/>
        </w:numPr>
        <w:spacing w:line="560" w:lineRule="exact"/>
        <w:rPr>
          <w:rFonts w:hint="eastAsia" w:ascii="宋体" w:hAnsi="宋体" w:eastAsia="宋体" w:cs="宋体"/>
          <w:b/>
          <w:color w:val="auto"/>
          <w:sz w:val="28"/>
          <w:szCs w:val="28"/>
          <w:highlight w:val="none"/>
        </w:rPr>
      </w:pPr>
      <w:r>
        <w:rPr>
          <w:rFonts w:hint="eastAsia" w:ascii="宋体" w:hAnsi="宋体" w:eastAsia="宋体" w:cs="宋体"/>
          <w:b/>
          <w:bCs w:val="0"/>
          <w:kern w:val="2"/>
          <w:sz w:val="28"/>
          <w:szCs w:val="28"/>
          <w:lang w:val="en-US" w:eastAsia="zh-CN" w:bidi="ar"/>
        </w:rPr>
        <w:t>四、</w:t>
      </w:r>
      <w:r>
        <w:rPr>
          <w:rFonts w:hint="eastAsia" w:ascii="宋体" w:hAnsi="宋体" w:eastAsia="宋体" w:cs="宋体"/>
          <w:b/>
          <w:color w:val="auto"/>
          <w:sz w:val="28"/>
          <w:szCs w:val="28"/>
          <w:highlight w:val="none"/>
          <w:lang w:val="en-US" w:eastAsia="zh-CN"/>
        </w:rPr>
        <w:t>比选</w:t>
      </w:r>
      <w:r>
        <w:rPr>
          <w:rFonts w:hint="eastAsia" w:ascii="宋体" w:hAnsi="宋体" w:eastAsia="宋体" w:cs="宋体"/>
          <w:b/>
          <w:color w:val="auto"/>
          <w:sz w:val="28"/>
          <w:szCs w:val="28"/>
          <w:highlight w:val="none"/>
        </w:rPr>
        <w:t>限价</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本项目报价采用固定单价包干，含税</w:t>
      </w:r>
      <w:bookmarkStart w:id="2" w:name="OLE_LINK16"/>
      <w:r>
        <w:rPr>
          <w:rFonts w:hint="eastAsia" w:ascii="宋体" w:hAnsi="宋体" w:eastAsia="宋体" w:cs="宋体"/>
          <w:kern w:val="2"/>
          <w:sz w:val="28"/>
          <w:szCs w:val="28"/>
          <w:lang w:val="en-US" w:eastAsia="zh-CN" w:bidi="ar"/>
        </w:rPr>
        <w:t>最高限价暂定总价</w:t>
      </w:r>
      <w:bookmarkEnd w:id="2"/>
      <w:r>
        <w:rPr>
          <w:rFonts w:hint="eastAsia" w:ascii="宋体" w:hAnsi="宋体" w:eastAsia="宋体" w:cs="宋体"/>
          <w:i w:val="0"/>
          <w:iCs w:val="0"/>
          <w:color w:val="000000"/>
          <w:kern w:val="2"/>
          <w:sz w:val="28"/>
          <w:szCs w:val="28"/>
          <w:u w:val="none"/>
          <w:lang w:val="en-US" w:eastAsia="zh" w:bidi="ar"/>
        </w:rPr>
        <w:t>999600</w:t>
      </w:r>
      <w:r>
        <w:rPr>
          <w:rFonts w:hint="eastAsia" w:ascii="宋体" w:hAnsi="宋体" w:eastAsia="宋体" w:cs="宋体"/>
          <w:kern w:val="2"/>
          <w:sz w:val="28"/>
          <w:szCs w:val="28"/>
          <w:lang w:val="en-US" w:eastAsia="zh-CN" w:bidi="ar"/>
        </w:rPr>
        <w:t>元，具体详见第六部分报价表，报价超过含税单价限价或含税总价限价的为无效报价。</w:t>
      </w:r>
    </w:p>
    <w:p>
      <w:pPr>
        <w:keepNext w:val="0"/>
        <w:keepLines w:val="0"/>
        <w:widowControl/>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五、合同期限</w:t>
      </w:r>
    </w:p>
    <w:p>
      <w:pPr>
        <w:spacing w:before="0" w:after="0" w:line="560" w:lineRule="exact"/>
        <w:ind w:firstLine="560" w:firstLineChars="200"/>
        <w:jc w:val="left"/>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合同</w:t>
      </w:r>
      <w:r>
        <w:rPr>
          <w:rFonts w:hint="eastAsia" w:ascii="宋体" w:hAnsi="宋体" w:eastAsia="宋体" w:cs="宋体"/>
          <w:color w:val="auto"/>
          <w:sz w:val="28"/>
          <w:szCs w:val="28"/>
          <w:highlight w:val="none"/>
          <w:lang w:val="en-US" w:eastAsia="zh-CN" w:bidi="ar"/>
        </w:rPr>
        <w:t>服务期限为3年，从合同签订生效之日起计算，</w:t>
      </w:r>
      <w:r>
        <w:rPr>
          <w:rFonts w:hint="eastAsia" w:ascii="宋体" w:hAnsi="宋体" w:eastAsia="宋体" w:cs="宋体"/>
          <w:color w:val="auto"/>
          <w:sz w:val="28"/>
          <w:szCs w:val="28"/>
          <w:highlight w:val="none"/>
          <w:lang w:bidi="ar"/>
        </w:rPr>
        <w:t>本合同到期自行终止。</w:t>
      </w:r>
    </w:p>
    <w:p>
      <w:pPr>
        <w:numPr>
          <w:ilvl w:val="0"/>
          <w:numId w:val="0"/>
        </w:numPr>
        <w:spacing w:line="5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rPr>
        <w:t>响应人资格要求</w:t>
      </w:r>
    </w:p>
    <w:p>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具有独立法人资格的合法企业</w:t>
      </w:r>
      <w:r>
        <w:rPr>
          <w:rFonts w:hint="eastAsia" w:ascii="宋体" w:hAnsi="宋体" w:eastAsia="宋体" w:cs="宋体"/>
          <w:color w:val="000000"/>
          <w:sz w:val="28"/>
          <w:szCs w:val="28"/>
          <w:highlight w:val="none"/>
          <w:lang w:eastAsia="zh-CN"/>
        </w:rPr>
        <w:t>（需提供营业执照复印</w:t>
      </w:r>
      <w:r>
        <w:rPr>
          <w:rFonts w:hint="eastAsia" w:ascii="宋体" w:hAnsi="宋体" w:eastAsia="宋体" w:cs="宋体"/>
          <w:color w:val="auto"/>
          <w:sz w:val="28"/>
          <w:szCs w:val="28"/>
          <w:highlight w:val="none"/>
          <w:lang w:eastAsia="zh-CN"/>
        </w:rPr>
        <w:t xml:space="preserve">件或扫描件作为证明文件）； </w:t>
      </w:r>
    </w:p>
    <w:p>
      <w:pPr>
        <w:numPr>
          <w:ilvl w:val="0"/>
          <w:numId w:val="0"/>
        </w:num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bCs w:val="0"/>
          <w:color w:val="auto"/>
          <w:sz w:val="28"/>
          <w:szCs w:val="28"/>
          <w:highlight w:val="none"/>
        </w:rPr>
        <w:t>具有良好的商业信誉和健全的财务会计制度</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p>
    <w:p>
      <w:pPr>
        <w:numPr>
          <w:ilvl w:val="0"/>
          <w:numId w:val="0"/>
        </w:numPr>
        <w:snapToGrid/>
        <w:spacing w:line="560" w:lineRule="exact"/>
        <w:ind w:firstLine="560" w:firstLineChars="200"/>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须具有良好的社会信誉和履行合同的能力，近3年无违法违纪、服务违约行为、重大质量问题等不良记录，没有处于被责令停业</w:t>
      </w:r>
      <w:r>
        <w:rPr>
          <w:rFonts w:hint="eastAsia" w:ascii="宋体" w:hAnsi="宋体" w:eastAsia="宋体" w:cs="宋体"/>
          <w:color w:val="auto"/>
          <w:sz w:val="28"/>
          <w:szCs w:val="28"/>
          <w:highlight w:val="none"/>
          <w:lang w:val="zh-CN"/>
        </w:rPr>
        <w:t>、或财产被接管、冻结、破产状态</w:t>
      </w:r>
      <w:bookmarkStart w:id="3" w:name="OLE_LINK4"/>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需提供</w:t>
      </w:r>
      <w:r>
        <w:rPr>
          <w:rFonts w:hint="eastAsia" w:ascii="宋体" w:hAnsi="宋体" w:eastAsia="宋体" w:cs="宋体"/>
          <w:color w:val="auto"/>
          <w:sz w:val="28"/>
          <w:szCs w:val="28"/>
          <w:highlight w:val="none"/>
          <w:lang w:val="zh-CN"/>
        </w:rPr>
        <w:t>信用中国截图）</w:t>
      </w:r>
      <w:bookmarkEnd w:id="3"/>
      <w:r>
        <w:rPr>
          <w:rFonts w:hint="eastAsia" w:ascii="宋体" w:hAnsi="宋体" w:eastAsia="宋体" w:cs="宋体"/>
          <w:color w:val="auto"/>
          <w:sz w:val="28"/>
          <w:szCs w:val="28"/>
          <w:highlight w:val="none"/>
          <w:lang w:val="zh-CN" w:eastAsia="zh-CN"/>
        </w:rPr>
        <w:t>；</w:t>
      </w:r>
    </w:p>
    <w:p>
      <w:pPr>
        <w:snapToGrid/>
        <w:spacing w:line="560" w:lineRule="exact"/>
        <w:ind w:firstLine="560" w:firstLineChars="200"/>
        <w:jc w:val="left"/>
        <w:rPr>
          <w:rFonts w:hint="eastAsia" w:ascii="宋体" w:hAnsi="宋体" w:eastAsia="宋体" w:cs="宋体"/>
          <w:bCs w:val="0"/>
          <w:color w:val="auto"/>
          <w:sz w:val="28"/>
          <w:szCs w:val="28"/>
          <w:highlight w:val="none"/>
          <w:lang w:eastAsia="zh-CN"/>
        </w:rPr>
      </w:pPr>
      <w:r>
        <w:rPr>
          <w:rFonts w:hint="eastAsia" w:ascii="宋体" w:hAnsi="宋体" w:eastAsia="宋体" w:cs="宋体"/>
          <w:color w:val="auto"/>
          <w:sz w:val="28"/>
          <w:szCs w:val="28"/>
          <w:highlight w:val="none"/>
          <w:lang w:val="en-US" w:eastAsia="zh"/>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bCs w:val="0"/>
          <w:color w:val="auto"/>
          <w:sz w:val="28"/>
          <w:szCs w:val="28"/>
          <w:highlight w:val="none"/>
        </w:rPr>
        <w:t>具有履行合同所必需的设备和专业技术能力</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需提供承诺书）</w:t>
      </w:r>
      <w:r>
        <w:rPr>
          <w:rFonts w:hint="eastAsia" w:ascii="宋体" w:hAnsi="宋体" w:eastAsia="宋体" w:cs="宋体"/>
          <w:bCs w:val="0"/>
          <w:color w:val="auto"/>
          <w:sz w:val="28"/>
          <w:szCs w:val="28"/>
          <w:highlight w:val="none"/>
          <w:lang w:eastAsia="zh-CN"/>
        </w:rPr>
        <w:t>。</w:t>
      </w:r>
    </w:p>
    <w:p>
      <w:pPr>
        <w:spacing w:line="560" w:lineRule="exact"/>
        <w:ind w:left="559" w:leftChars="266" w:firstLine="11" w:firstLineChars="4"/>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七</w:t>
      </w:r>
      <w:r>
        <w:rPr>
          <w:rFonts w:hint="eastAsia" w:ascii="宋体" w:hAnsi="宋体" w:eastAsia="宋体" w:cs="宋体"/>
          <w:b/>
          <w:bCs/>
          <w:color w:val="auto"/>
          <w:sz w:val="28"/>
          <w:szCs w:val="28"/>
          <w:highlight w:val="none"/>
          <w:lang w:val="zh-CN"/>
        </w:rPr>
        <w:t>、购买采购文件的时间、地点及售价：</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1.招标文件获取时间：2025年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val="zh-CN"/>
        </w:rPr>
        <w:t>日09时00分至</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val="zh-CN"/>
        </w:rPr>
        <w:t>日17时00分（北京时间）。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2.</w:t>
      </w:r>
      <w:r>
        <w:rPr>
          <w:rFonts w:hint="eastAsia" w:ascii="宋体" w:hAnsi="宋体" w:eastAsia="宋体" w:cs="宋体"/>
          <w:color w:val="auto"/>
          <w:sz w:val="28"/>
          <w:szCs w:val="28"/>
          <w:highlight w:val="none"/>
          <w:lang w:val="zh-CN"/>
        </w:rPr>
        <w:t>招标文件获取地点：</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四川能源天府阳光采购服务平台（http://scny.tfygcgfw.com）。</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3.招标文件获取方式：</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（1）凡有意参加的潜在投标人，请于文件获取期间登录四川能源天府阳光采购服务平台（http://scny.tfygcgfw.com/）参与项目报名(平台服务费：50元)，并按页面指示缴纳费用并下载招标文件。</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（2）若投标人首次为登陆四川能源天府阳光采购服务平台，需先进行免费注册（平台首页左上角），注册为供应商，并按平台要求完善注册信息，未注册或系统使用有问题的供应商将无法参与本项目。</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（3）投标人登陆账号后，点击左侧菜单投标管理-招标公告，找到本项目公告，点击报名并下载招标文件及其他招标资料电子版。</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（4）本项目实行网上发售电子版招标文件，不再出售纸质招标文件。</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4.潜在响应人在四川能源天府阳光采购服务平台取得采购文件后决定参加本项目的，需在响应文件递交截止时间前进行报名。报名时须提供以下资料并发送至TZB0834@126.com。</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（1）经办人介绍信或法定代表人授权委托书加盖公章。</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（2）经办人及法人身份证复印件加盖公章。</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若提供的资格证明文件不全或不实，将导致其资格被取消。未按上述要求获取文件及报名的，递交的响应文件将不予接收。</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八</w:t>
      </w:r>
      <w:r>
        <w:rPr>
          <w:rFonts w:hint="eastAsia" w:ascii="宋体" w:hAnsi="宋体" w:eastAsia="宋体" w:cs="宋体"/>
          <w:b/>
          <w:bCs/>
          <w:color w:val="auto"/>
          <w:sz w:val="28"/>
          <w:szCs w:val="28"/>
          <w:highlight w:val="none"/>
          <w:lang w:val="zh-CN"/>
        </w:rPr>
        <w:t>、递交报价文件截止时间(以下简称报价截止时间)地点：</w:t>
      </w:r>
      <w:bookmarkStart w:id="5" w:name="_GoBack"/>
      <w:bookmarkEnd w:id="5"/>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时间：202</w:t>
      </w:r>
      <w:r>
        <w:rPr>
          <w:rFonts w:hint="eastAsia" w:ascii="宋体" w:hAnsi="宋体" w:eastAsia="宋体" w:cs="宋体"/>
          <w:color w:val="auto"/>
          <w:sz w:val="28"/>
          <w:szCs w:val="28"/>
          <w:highlight w:val="none"/>
          <w:lang w:val="zh-CN" w:eastAsia="zh-CN"/>
        </w:rPr>
        <w:t>5</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lang w:val="zh-CN"/>
        </w:rPr>
        <w:t>午</w:t>
      </w:r>
      <w:r>
        <w:rPr>
          <w:rFonts w:hint="eastAsia" w:ascii="宋体" w:hAnsi="宋体" w:eastAsia="宋体" w:cs="宋体"/>
          <w:color w:val="auto"/>
          <w:sz w:val="28"/>
          <w:szCs w:val="28"/>
          <w:highlight w:val="none"/>
          <w:lang w:val="zh-CN" w:eastAsia="zh-CN"/>
        </w:rPr>
        <w:t xml:space="preserve">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lang w:val="zh-CN"/>
        </w:rPr>
        <w:t>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地点:</w:t>
      </w:r>
      <w:r>
        <w:rPr>
          <w:rFonts w:hint="eastAsia" w:ascii="宋体" w:hAnsi="宋体" w:eastAsia="宋体" w:cs="宋体"/>
          <w:b w:val="0"/>
          <w:bCs w:val="0"/>
          <w:color w:val="auto"/>
          <w:kern w:val="2"/>
          <w:sz w:val="28"/>
          <w:szCs w:val="28"/>
          <w:highlight w:val="none"/>
          <w:lang w:val="zh-CN" w:eastAsia="zh-CN" w:bidi="ar-SA"/>
        </w:rPr>
        <w:t>西昌市朝阳东路1号川投西昌医院五楼会议室。</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九</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比选</w:t>
      </w:r>
      <w:r>
        <w:rPr>
          <w:rFonts w:hint="eastAsia" w:ascii="宋体" w:hAnsi="宋体" w:eastAsia="宋体" w:cs="宋体"/>
          <w:b/>
          <w:bCs/>
          <w:color w:val="auto"/>
          <w:sz w:val="28"/>
          <w:szCs w:val="28"/>
          <w:highlight w:val="none"/>
          <w:lang w:val="zh-CN"/>
        </w:rPr>
        <w:t>时间及地点：</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时间：202</w:t>
      </w:r>
      <w:r>
        <w:rPr>
          <w:rFonts w:hint="eastAsia" w:ascii="宋体" w:hAnsi="宋体" w:eastAsia="宋体" w:cs="宋体"/>
          <w:color w:val="auto"/>
          <w:sz w:val="28"/>
          <w:szCs w:val="28"/>
          <w:highlight w:val="none"/>
          <w:lang w:val="zh-CN" w:eastAsia="zh-CN"/>
        </w:rPr>
        <w:t>5</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lang w:val="zh-CN"/>
        </w:rPr>
        <w:t>午</w:t>
      </w:r>
      <w:r>
        <w:rPr>
          <w:rFonts w:hint="eastAsia" w:ascii="宋体" w:hAnsi="宋体" w:eastAsia="宋体" w:cs="宋体"/>
          <w:color w:val="auto"/>
          <w:sz w:val="28"/>
          <w:szCs w:val="28"/>
          <w:highlight w:val="none"/>
          <w:lang w:val="zh-CN" w:eastAsia="zh-CN"/>
        </w:rPr>
        <w:t xml:space="preserve">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lang w:val="zh-CN"/>
        </w:rPr>
        <w:t>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地点:</w:t>
      </w:r>
      <w:r>
        <w:rPr>
          <w:rFonts w:hint="eastAsia" w:ascii="宋体" w:hAnsi="宋体" w:eastAsia="宋体" w:cs="宋体"/>
          <w:b w:val="0"/>
          <w:bCs w:val="0"/>
          <w:color w:val="auto"/>
          <w:kern w:val="2"/>
          <w:sz w:val="28"/>
          <w:szCs w:val="28"/>
          <w:highlight w:val="none"/>
          <w:lang w:val="zh-CN" w:eastAsia="zh-CN" w:bidi="ar-SA"/>
        </w:rPr>
        <w:t>西昌市朝阳东路1号川投西昌医院五楼会议室。</w:t>
      </w:r>
    </w:p>
    <w:p>
      <w:pPr>
        <w:numPr>
          <w:ilvl w:val="0"/>
          <w:numId w:val="0"/>
        </w:numPr>
        <w:spacing w:line="560" w:lineRule="exact"/>
        <w:ind w:firstLine="560"/>
        <w:rPr>
          <w:rFonts w:hint="default" w:ascii="宋体" w:hAnsi="宋体" w:eastAsia="宋体" w:cs="宋体"/>
          <w:b/>
          <w:bCs/>
          <w:color w:val="auto"/>
          <w:sz w:val="28"/>
          <w:szCs w:val="28"/>
          <w:highlight w:val="none"/>
          <w:lang w:val="en-US"/>
        </w:rPr>
      </w:pPr>
      <w:bookmarkStart w:id="4" w:name="PO_默认文件内容_46"/>
      <w:r>
        <w:rPr>
          <w:rFonts w:hint="eastAsia" w:ascii="宋体" w:hAnsi="宋体" w:eastAsia="宋体" w:cs="宋体"/>
          <w:b/>
          <w:bCs/>
          <w:color w:val="auto"/>
          <w:sz w:val="28"/>
          <w:szCs w:val="28"/>
          <w:highlight w:val="none"/>
          <w:lang w:val="zh-CN" w:eastAsia="zh-CN"/>
        </w:rPr>
        <w:t>十、</w:t>
      </w:r>
      <w:bookmarkEnd w:id="4"/>
      <w:r>
        <w:rPr>
          <w:rFonts w:hint="eastAsia" w:ascii="宋体" w:hAnsi="宋体" w:eastAsia="宋体" w:cs="宋体"/>
          <w:b/>
          <w:bCs/>
          <w:color w:val="auto"/>
          <w:sz w:val="28"/>
          <w:szCs w:val="28"/>
          <w:highlight w:val="none"/>
          <w:lang w:val="en-US" w:eastAsia="zh-CN"/>
        </w:rPr>
        <w:t>发布公告媒体：</w:t>
      </w:r>
    </w:p>
    <w:p>
      <w:pPr>
        <w:autoSpaceDE w:val="0"/>
        <w:autoSpaceDN w:val="0"/>
        <w:adjustRightInd w:val="0"/>
        <w:snapToGrid w:val="0"/>
        <w:spacing w:line="560" w:lineRule="exact"/>
        <w:ind w:left="0" w:leftChars="0" w:firstLine="0" w:firstLineChars="0"/>
        <w:rPr>
          <w:rStyle w:val="12"/>
          <w:rFonts w:hint="eastAsia" w:ascii="宋体" w:hAnsi="宋体" w:eastAsia="宋体" w:cs="宋体"/>
          <w:bCs w:val="0"/>
          <w:color w:val="auto"/>
          <w:sz w:val="28"/>
          <w:szCs w:val="28"/>
          <w:highlight w:val="none"/>
          <w:lang w:val="zh-CN" w:eastAsia="zh-CN"/>
        </w:rPr>
      </w:pPr>
      <w:r>
        <w:rPr>
          <w:rFonts w:hint="eastAsia" w:ascii="宋体" w:hAnsi="宋体" w:eastAsia="宋体" w:cs="宋体"/>
          <w:bCs w:val="0"/>
          <w:color w:val="auto"/>
          <w:sz w:val="28"/>
          <w:szCs w:val="28"/>
          <w:highlight w:val="none"/>
          <w:lang w:val="zh-CN"/>
        </w:rPr>
        <w:t>中国招标投标公共服务平台（</w:t>
      </w:r>
      <w:r>
        <w:rPr>
          <w:rFonts w:hint="eastAsia" w:ascii="宋体" w:hAnsi="宋体" w:eastAsia="宋体" w:cs="宋体"/>
          <w:bCs w:val="0"/>
          <w:color w:val="auto"/>
          <w:sz w:val="28"/>
          <w:szCs w:val="28"/>
          <w:highlight w:val="none"/>
          <w:lang w:val="zh-CN"/>
        </w:rPr>
        <w:fldChar w:fldCharType="begin"/>
      </w:r>
      <w:r>
        <w:rPr>
          <w:rFonts w:hint="eastAsia" w:ascii="宋体" w:hAnsi="宋体" w:eastAsia="宋体" w:cs="宋体"/>
          <w:bCs w:val="0"/>
          <w:color w:val="auto"/>
          <w:sz w:val="28"/>
          <w:szCs w:val="28"/>
          <w:highlight w:val="none"/>
          <w:lang w:val="zh-CN"/>
        </w:rPr>
        <w:instrText xml:space="preserve"> HYPERLINK "http://www.cebpubservice.com/）、四川能源天府阳光采购服务平台（https:/scny.tfygcgfw.com）、" </w:instrText>
      </w:r>
      <w:r>
        <w:rPr>
          <w:rFonts w:hint="eastAsia" w:ascii="宋体" w:hAnsi="宋体" w:eastAsia="宋体" w:cs="宋体"/>
          <w:bCs w:val="0"/>
          <w:color w:val="auto"/>
          <w:sz w:val="28"/>
          <w:szCs w:val="28"/>
          <w:highlight w:val="none"/>
          <w:lang w:val="zh-CN"/>
        </w:rPr>
        <w:fldChar w:fldCharType="separate"/>
      </w:r>
      <w:r>
        <w:rPr>
          <w:rStyle w:val="12"/>
          <w:rFonts w:hint="eastAsia" w:ascii="宋体" w:hAnsi="宋体" w:eastAsia="宋体" w:cs="宋体"/>
          <w:bCs w:val="0"/>
          <w:color w:val="auto"/>
          <w:sz w:val="28"/>
          <w:szCs w:val="28"/>
          <w:highlight w:val="none"/>
          <w:lang w:val="zh-CN"/>
        </w:rPr>
        <w:t>http://www.cebpubservice.com/）</w:t>
      </w:r>
      <w:r>
        <w:rPr>
          <w:rStyle w:val="12"/>
          <w:rFonts w:hint="eastAsia" w:ascii="宋体" w:hAnsi="宋体" w:eastAsia="宋体" w:cs="宋体"/>
          <w:bCs w:val="0"/>
          <w:color w:val="auto"/>
          <w:sz w:val="28"/>
          <w:szCs w:val="28"/>
          <w:highlight w:val="none"/>
          <w:lang w:val="zh-CN" w:eastAsia="zh-CN"/>
        </w:rPr>
        <w:t>、</w:t>
      </w:r>
    </w:p>
    <w:p>
      <w:pPr>
        <w:kinsoku w:val="0"/>
        <w:autoSpaceDE w:val="0"/>
        <w:autoSpaceDN w:val="0"/>
        <w:adjustRightInd w:val="0"/>
        <w:snapToGrid w:val="0"/>
        <w:spacing w:line="560" w:lineRule="exact"/>
        <w:ind w:left="0" w:leftChars="0" w:firstLine="0" w:firstLineChars="0"/>
        <w:rPr>
          <w:rFonts w:hint="eastAsia" w:ascii="宋体" w:hAnsi="宋体" w:eastAsia="宋体" w:cs="宋体"/>
          <w:bCs w:val="0"/>
          <w:color w:val="auto"/>
          <w:sz w:val="28"/>
          <w:szCs w:val="28"/>
          <w:highlight w:val="none"/>
          <w:lang w:val="zh-CN"/>
        </w:rPr>
      </w:pPr>
      <w:r>
        <w:rPr>
          <w:rStyle w:val="12"/>
          <w:rFonts w:hint="eastAsia" w:ascii="宋体" w:hAnsi="宋体" w:eastAsia="宋体" w:cs="宋体"/>
          <w:bCs w:val="0"/>
          <w:color w:val="auto"/>
          <w:sz w:val="28"/>
          <w:szCs w:val="28"/>
          <w:highlight w:val="none"/>
          <w:u w:val="none"/>
          <w:lang w:val="zh-CN"/>
        </w:rPr>
        <w:t>四川能源天府阳光采购服务平台</w:t>
      </w:r>
      <w:r>
        <w:rPr>
          <w:rStyle w:val="12"/>
          <w:rFonts w:hint="eastAsia" w:ascii="宋体" w:hAnsi="宋体" w:eastAsia="宋体" w:cs="宋体"/>
          <w:bCs w:val="0"/>
          <w:color w:val="auto"/>
          <w:sz w:val="28"/>
          <w:szCs w:val="28"/>
          <w:highlight w:val="none"/>
          <w:lang w:val="zh-CN"/>
        </w:rPr>
        <w:t>（https://scny.tfygcgfw.com）、</w:t>
      </w:r>
      <w:r>
        <w:rPr>
          <w:rFonts w:hint="eastAsia" w:ascii="宋体" w:hAnsi="宋体" w:eastAsia="宋体" w:cs="宋体"/>
          <w:bCs w:val="0"/>
          <w:color w:val="auto"/>
          <w:sz w:val="28"/>
          <w:szCs w:val="28"/>
          <w:highlight w:val="none"/>
          <w:lang w:val="zh-CN"/>
        </w:rPr>
        <w:fldChar w:fldCharType="end"/>
      </w:r>
      <w:r>
        <w:rPr>
          <w:rFonts w:hint="eastAsia" w:ascii="宋体" w:hAnsi="宋体" w:eastAsia="宋体" w:cs="宋体"/>
          <w:bCs w:val="0"/>
          <w:color w:val="auto"/>
          <w:sz w:val="28"/>
          <w:szCs w:val="28"/>
          <w:highlight w:val="none"/>
          <w:lang w:val="zh-CN"/>
        </w:rPr>
        <w:t>四川川投大健康产业集团有限责任公司（https://djk.invest.com.cn/）、西昌川投大健康科技有限公司（</w:t>
      </w:r>
      <w:r>
        <w:rPr>
          <w:rFonts w:hint="eastAsia" w:ascii="宋体" w:hAnsi="宋体" w:eastAsia="宋体" w:cs="宋体"/>
          <w:bCs w:val="0"/>
          <w:color w:val="auto"/>
          <w:sz w:val="28"/>
          <w:szCs w:val="28"/>
          <w:highlight w:val="none"/>
          <w:lang w:val="zh-CN"/>
        </w:rPr>
        <w:fldChar w:fldCharType="begin"/>
      </w:r>
      <w:r>
        <w:rPr>
          <w:rFonts w:hint="eastAsia" w:ascii="宋体" w:hAnsi="宋体" w:eastAsia="宋体" w:cs="宋体"/>
          <w:bCs w:val="0"/>
          <w:color w:val="auto"/>
          <w:sz w:val="28"/>
          <w:szCs w:val="28"/>
          <w:highlight w:val="none"/>
          <w:lang w:val="zh-CN"/>
        </w:rPr>
        <w:instrText xml:space="preserve"> HYPERLINK "http://www.ctghtc.cn/）、" </w:instrText>
      </w:r>
      <w:r>
        <w:rPr>
          <w:rFonts w:hint="eastAsia" w:ascii="宋体" w:hAnsi="宋体" w:eastAsia="宋体" w:cs="宋体"/>
          <w:bCs w:val="0"/>
          <w:color w:val="auto"/>
          <w:sz w:val="28"/>
          <w:szCs w:val="28"/>
          <w:highlight w:val="none"/>
          <w:lang w:val="zh-CN"/>
        </w:rPr>
        <w:fldChar w:fldCharType="separate"/>
      </w:r>
      <w:r>
        <w:rPr>
          <w:rStyle w:val="12"/>
          <w:rFonts w:hint="eastAsia" w:ascii="宋体" w:hAnsi="宋体" w:eastAsia="宋体" w:cs="宋体"/>
          <w:bCs w:val="0"/>
          <w:color w:val="auto"/>
          <w:sz w:val="28"/>
          <w:szCs w:val="28"/>
          <w:highlight w:val="none"/>
          <w:lang w:val="zh-CN"/>
        </w:rPr>
        <w:t>http://www.ctghtc.cn/）、</w:t>
      </w:r>
      <w:r>
        <w:rPr>
          <w:rFonts w:hint="eastAsia" w:ascii="宋体" w:hAnsi="宋体" w:eastAsia="宋体" w:cs="宋体"/>
          <w:bCs w:val="0"/>
          <w:color w:val="auto"/>
          <w:sz w:val="28"/>
          <w:szCs w:val="28"/>
          <w:highlight w:val="none"/>
          <w:lang w:val="zh-CN"/>
        </w:rPr>
        <w:fldChar w:fldCharType="end"/>
      </w:r>
    </w:p>
    <w:p>
      <w:pPr>
        <w:autoSpaceDE w:val="0"/>
        <w:autoSpaceDN w:val="0"/>
        <w:adjustRightInd w:val="0"/>
        <w:snapToGrid w:val="0"/>
        <w:spacing w:line="560" w:lineRule="exact"/>
        <w:ind w:firstLine="0" w:firstLineChars="0"/>
        <w:rPr>
          <w:rFonts w:hint="eastAsia" w:ascii="宋体" w:hAnsi="宋体" w:eastAsia="宋体" w:cs="宋体"/>
          <w:bCs w:val="0"/>
          <w:color w:val="auto"/>
          <w:sz w:val="28"/>
          <w:szCs w:val="28"/>
          <w:highlight w:val="none"/>
          <w:lang w:val="zh-CN"/>
        </w:rPr>
      </w:pPr>
      <w:r>
        <w:rPr>
          <w:rFonts w:hint="eastAsia" w:ascii="宋体" w:hAnsi="宋体" w:eastAsia="宋体" w:cs="宋体"/>
          <w:bCs w:val="0"/>
          <w:color w:val="auto"/>
          <w:sz w:val="28"/>
          <w:szCs w:val="28"/>
          <w:highlight w:val="none"/>
          <w:lang w:val="zh-CN"/>
        </w:rPr>
        <w:t>川投西昌医院（http://www.ctxcyy.cn）网站上以公告形式发布</w:t>
      </w:r>
      <w:r>
        <w:rPr>
          <w:rFonts w:hint="eastAsia" w:ascii="宋体" w:hAnsi="宋体" w:eastAsia="宋体" w:cs="宋体"/>
          <w:bCs w:val="0"/>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0A5F0C62"/>
    <w:rsid w:val="25A634D3"/>
    <w:rsid w:val="313F5CD8"/>
    <w:rsid w:val="32DA34FB"/>
    <w:rsid w:val="3B83700D"/>
    <w:rsid w:val="49935043"/>
    <w:rsid w:val="4ABA265F"/>
    <w:rsid w:val="4B8200F7"/>
    <w:rsid w:val="4BA000EC"/>
    <w:rsid w:val="4DF61D74"/>
    <w:rsid w:val="4FF572BC"/>
    <w:rsid w:val="5D820C77"/>
    <w:rsid w:val="606C4A0B"/>
    <w:rsid w:val="672B1A53"/>
    <w:rsid w:val="6A202D2A"/>
    <w:rsid w:val="6B626839"/>
    <w:rsid w:val="70767A35"/>
    <w:rsid w:val="7142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Body Text"/>
    <w:basedOn w:val="1"/>
    <w:next w:val="1"/>
    <w:qFormat/>
    <w:uiPriority w:val="0"/>
    <w:pPr>
      <w:spacing w:after="120"/>
    </w:pPr>
    <w:rPr>
      <w:szCs w:val="24"/>
    </w:rPr>
  </w:style>
  <w:style w:type="paragraph" w:styleId="6">
    <w:name w:val="Body Text Indent"/>
    <w:basedOn w:val="1"/>
    <w:unhideWhenUsed/>
    <w:qFormat/>
    <w:uiPriority w:val="99"/>
    <w:pPr>
      <w:spacing w:after="120"/>
      <w:ind w:left="420" w:leftChars="200"/>
    </w:pPr>
    <w:rPr>
      <w:szCs w:val="20"/>
    </w:rPr>
  </w:style>
  <w:style w:type="paragraph" w:styleId="7">
    <w:name w:val="footer"/>
    <w:basedOn w:val="1"/>
    <w:qFormat/>
    <w:uiPriority w:val="99"/>
    <w:pPr>
      <w:tabs>
        <w:tab w:val="center" w:pos="4153"/>
        <w:tab w:val="center" w:pos="4320"/>
        <w:tab w:val="right" w:pos="8306"/>
        <w:tab w:val="right" w:pos="8640"/>
      </w:tabs>
      <w:snapToGrid w:val="0"/>
      <w:jc w:val="left"/>
    </w:pPr>
    <w:rPr>
      <w:sz w:val="18"/>
      <w:szCs w:val="18"/>
    </w:rPr>
  </w:style>
  <w:style w:type="paragraph" w:styleId="8">
    <w:name w:val="Body Text First Indent 2"/>
    <w:basedOn w:val="6"/>
    <w:unhideWhenUsed/>
    <w:qFormat/>
    <w:uiPriority w:val="99"/>
    <w:pPr>
      <w:ind w:firstLine="420" w:firstLineChars="200"/>
    </w:pPr>
  </w:style>
  <w:style w:type="character" w:styleId="11">
    <w:name w:val="Strong"/>
    <w:qFormat/>
    <w:uiPriority w:val="0"/>
    <w:rPr>
      <w:b/>
    </w:rPr>
  </w:style>
  <w:style w:type="character" w:styleId="12">
    <w:name w:val="Hyperlink"/>
    <w:unhideWhenUsed/>
    <w:uiPriority w:val="99"/>
    <w:rPr>
      <w:color w:val="0000FF"/>
      <w:u w:val="single"/>
    </w:rPr>
  </w:style>
  <w:style w:type="paragraph" w:customStyle="1" w:styleId="13">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customStyle="1" w:styleId="1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2025-09-15T07:33:33Z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